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140F7">
      <w:pPr>
        <w:jc w:val="center"/>
        <w:rPr>
          <w:rFonts w:ascii="Times New Roman" w:hAnsi="Times New Roman" w:eastAsia="Times New Roman" w:cs="Times New Roman"/>
        </w:rPr>
      </w:pPr>
      <w:r>
        <w:rPr>
          <w:rFonts w:ascii="Calibri-Bold" w:hAnsi="Calibri-Bold" w:eastAsia="Times New Roman" w:cs="Times New Roman"/>
          <w:b/>
          <w:bCs/>
          <w:color w:val="000000"/>
          <w:sz w:val="28"/>
          <w:szCs w:val="28"/>
        </w:rPr>
        <w:t xml:space="preserve">The Scottish Schools Mandarin </w:t>
      </w:r>
      <w:r>
        <w:rPr>
          <w:rFonts w:hint="eastAsia" w:ascii="Calibri-Bold" w:hAnsi="Calibri-Bold" w:eastAsia="SimSun" w:cs="Times New Roman"/>
          <w:b/>
          <w:bCs/>
          <w:color w:val="000000"/>
          <w:sz w:val="28"/>
          <w:szCs w:val="28"/>
          <w:lang w:val="en-US" w:eastAsia="zh-CN"/>
        </w:rPr>
        <w:t>Speaking</w:t>
      </w:r>
      <w:r>
        <w:rPr>
          <w:rFonts w:ascii="Calibri-Bold" w:hAnsi="Calibri-Bold" w:eastAsia="Times New Roman" w:cs="Times New Roman"/>
          <w:b/>
          <w:bCs/>
          <w:color w:val="000000"/>
          <w:sz w:val="28"/>
          <w:szCs w:val="28"/>
        </w:rPr>
        <w:t xml:space="preserve"> Competition</w:t>
      </w:r>
    </w:p>
    <w:p w14:paraId="53E6FB18">
      <w:pPr>
        <w:rPr>
          <w:rFonts w:ascii="Times New Roman" w:hAnsi="Times New Roman" w:eastAsia="Times New Roman" w:cs="Times New Roman"/>
        </w:rPr>
      </w:pPr>
      <w:r>
        <w:rPr>
          <w:rFonts w:ascii="Calibri" w:hAnsi="Calibri" w:eastAsia="Times New Roman" w:cs="Calibri"/>
          <w:color w:val="000000"/>
          <w:sz w:val="28"/>
          <w:szCs w:val="28"/>
        </w:rPr>
        <w:t>1. Date</w:t>
      </w:r>
      <w:r>
        <w:rPr>
          <w:rFonts w:hint="default" w:ascii="Calibri" w:hAnsi="Calibri" w:eastAsia="Times New Roman" w:cs="Calibri"/>
          <w:color w:val="000000"/>
          <w:sz w:val="28"/>
          <w:szCs w:val="28"/>
        </w:rPr>
        <w:t xml:space="preserve">: </w:t>
      </w:r>
      <w:r>
        <w:rPr>
          <w:rFonts w:hint="eastAsia" w:ascii="Calibri" w:hAnsi="Calibri" w:eastAsia="SimSun" w:cs="Calibri"/>
          <w:color w:val="000000"/>
          <w:sz w:val="28"/>
          <w:szCs w:val="28"/>
          <w:lang w:val="en-US" w:eastAsia="zh-CN"/>
        </w:rPr>
        <w:t>26</w:t>
      </w:r>
      <w:r>
        <w:rPr>
          <w:rFonts w:hint="eastAsia" w:ascii="Calibri" w:hAnsi="Calibri" w:eastAsia="SimSun" w:cs="Calibri"/>
          <w:color w:val="000000"/>
          <w:sz w:val="28"/>
          <w:szCs w:val="28"/>
          <w:vertAlign w:val="superscript"/>
          <w:lang w:val="en-US" w:eastAsia="zh-CN"/>
        </w:rPr>
        <w:t>th</w:t>
      </w:r>
      <w:r>
        <w:rPr>
          <w:rFonts w:hint="eastAsia" w:ascii="Calibri" w:hAnsi="Calibri" w:eastAsia="SimSun" w:cs="Calibri"/>
          <w:color w:val="000000"/>
          <w:sz w:val="28"/>
          <w:szCs w:val="28"/>
          <w:lang w:val="en-US" w:eastAsia="zh-CN"/>
        </w:rPr>
        <w:t xml:space="preserve"> November 2026</w:t>
      </w:r>
      <w:r>
        <w:rPr>
          <w:rFonts w:hint="eastAsia" w:ascii="Calibri" w:hAnsi="Calibri" w:eastAsia="Times New Roman" w:cs="Calibri"/>
          <w:color w:val="000000"/>
          <w:sz w:val="28"/>
          <w:szCs w:val="28"/>
        </w:rPr>
        <w:t xml:space="preserve"> </w:t>
      </w:r>
    </w:p>
    <w:p w14:paraId="116AEFCE">
      <w:pPr>
        <w:rPr>
          <w:rFonts w:ascii="Times New Roman" w:hAnsi="Times New Roman" w:eastAsia="Times New Roman" w:cs="Times New Roman"/>
        </w:rPr>
      </w:pPr>
      <w:r>
        <w:rPr>
          <w:rFonts w:ascii="Calibri" w:hAnsi="Calibri" w:eastAsia="Times New Roman" w:cs="Calibri"/>
          <w:color w:val="000000"/>
          <w:sz w:val="28"/>
          <w:szCs w:val="28"/>
        </w:rPr>
        <w:t>2. Venue</w:t>
      </w:r>
      <w:r>
        <w:rPr>
          <w:rFonts w:hint="default" w:ascii="Calibri" w:hAnsi="Calibri" w:eastAsia="Times New Roman" w:cs="Calibri"/>
          <w:color w:val="000000"/>
          <w:sz w:val="28"/>
          <w:szCs w:val="28"/>
        </w:rPr>
        <w:t xml:space="preserve">: </w:t>
      </w:r>
      <w:r>
        <w:rPr>
          <w:rFonts w:ascii="Calibri" w:hAnsi="Calibri" w:eastAsia="Times New Roman" w:cs="Calibri"/>
          <w:color w:val="000000"/>
          <w:sz w:val="28"/>
          <w:szCs w:val="28"/>
        </w:rPr>
        <w:t>The Ramshorn</w:t>
      </w:r>
    </w:p>
    <w:p w14:paraId="299E5C1C">
      <w:pPr>
        <w:rPr>
          <w:rFonts w:ascii="Times New Roman" w:hAnsi="Times New Roman" w:eastAsia="Times New Roman" w:cs="Times New Roman"/>
        </w:rPr>
      </w:pPr>
      <w:r>
        <w:rPr>
          <w:rFonts w:ascii="Calibri" w:hAnsi="Calibri" w:eastAsia="Times New Roman" w:cs="Calibri"/>
          <w:color w:val="000000"/>
          <w:sz w:val="28"/>
          <w:szCs w:val="28"/>
        </w:rPr>
        <w:t>98 Ingram Street, Merchant City, University of Strathclyde, Glasgow, G1 1EX</w:t>
      </w:r>
    </w:p>
    <w:p w14:paraId="28E6AEEA">
      <w:pPr>
        <w:rPr>
          <w:rFonts w:hint="eastAsia" w:ascii="Times New Roman" w:hAnsi="Times New Roman" w:eastAsia="SimSun" w:cs="Times New Roman"/>
          <w:lang w:val="en-US" w:eastAsia="zh-CN"/>
        </w:rPr>
      </w:pPr>
      <w:r>
        <w:rPr>
          <w:rFonts w:ascii="Calibri" w:hAnsi="Calibri" w:eastAsia="Times New Roman" w:cs="Calibri"/>
          <w:color w:val="000000"/>
          <w:sz w:val="28"/>
          <w:szCs w:val="28"/>
        </w:rPr>
        <w:t>3. Deadline of Registration</w:t>
      </w:r>
      <w:r>
        <w:rPr>
          <w:rFonts w:hint="default" w:ascii="Calibri" w:hAnsi="Calibri" w:eastAsia="Times New Roman" w:cs="Calibri"/>
          <w:color w:val="000000"/>
          <w:sz w:val="28"/>
          <w:szCs w:val="28"/>
        </w:rPr>
        <w:t xml:space="preserve">: </w:t>
      </w:r>
      <w:r>
        <w:rPr>
          <w:rFonts w:hint="eastAsia" w:ascii="Calibri" w:hAnsi="Calibri" w:eastAsia="SimSun" w:cs="Calibri"/>
          <w:color w:val="000000"/>
          <w:sz w:val="28"/>
          <w:szCs w:val="28"/>
          <w:lang w:val="en-US" w:eastAsia="zh-CN"/>
        </w:rPr>
        <w:t>6</w:t>
      </w:r>
      <w:r>
        <w:rPr>
          <w:rFonts w:hint="eastAsia" w:ascii="Calibri" w:hAnsi="Calibri" w:eastAsia="SimSun" w:cs="Calibri"/>
          <w:color w:val="000000"/>
          <w:sz w:val="28"/>
          <w:szCs w:val="28"/>
          <w:vertAlign w:val="superscript"/>
          <w:lang w:val="en-US" w:eastAsia="zh-CN"/>
        </w:rPr>
        <w:t>th</w:t>
      </w:r>
      <w:r>
        <w:rPr>
          <w:rFonts w:hint="eastAsia" w:ascii="Calibri" w:hAnsi="Calibri" w:eastAsia="SimSun" w:cs="Calibri"/>
          <w:color w:val="000000"/>
          <w:sz w:val="28"/>
          <w:szCs w:val="28"/>
          <w:lang w:val="en-US" w:eastAsia="zh-CN"/>
        </w:rPr>
        <w:t xml:space="preserve"> November</w:t>
      </w:r>
      <w:r>
        <w:rPr>
          <w:rFonts w:ascii="Calibri" w:hAnsi="Calibri" w:eastAsia="Times New Roman" w:cs="Calibri"/>
          <w:color w:val="000000"/>
          <w:sz w:val="28"/>
          <w:szCs w:val="28"/>
        </w:rPr>
        <w:t xml:space="preserve"> 202</w:t>
      </w:r>
      <w:r>
        <w:rPr>
          <w:rFonts w:hint="eastAsia" w:ascii="Calibri" w:hAnsi="Calibri" w:eastAsia="SimSun" w:cs="Calibri"/>
          <w:color w:val="000000"/>
          <w:sz w:val="28"/>
          <w:szCs w:val="28"/>
          <w:lang w:val="en-US" w:eastAsia="zh-CN"/>
        </w:rPr>
        <w:t>6</w:t>
      </w:r>
    </w:p>
    <w:p w14:paraId="2342DF4C">
      <w:pPr>
        <w:rPr>
          <w:rFonts w:ascii="Times New Roman" w:hAnsi="Times New Roman" w:eastAsia="Times New Roman" w:cs="Times New Roman"/>
        </w:rPr>
      </w:pPr>
      <w:r>
        <w:rPr>
          <w:rFonts w:ascii="Calibri" w:hAnsi="Calibri" w:eastAsia="Times New Roman" w:cs="Calibri"/>
          <w:color w:val="000000"/>
          <w:sz w:val="28"/>
          <w:szCs w:val="28"/>
        </w:rPr>
        <w:t>4. Host</w:t>
      </w:r>
      <w:r>
        <w:rPr>
          <w:rFonts w:hint="default" w:ascii="Calibri" w:hAnsi="Calibri" w:eastAsia="Times New Roman" w:cs="Calibri"/>
          <w:color w:val="000000"/>
          <w:sz w:val="28"/>
          <w:szCs w:val="28"/>
        </w:rPr>
        <w:t xml:space="preserve">: </w:t>
      </w:r>
      <w:r>
        <w:rPr>
          <w:rFonts w:ascii="Calibri" w:hAnsi="Calibri" w:eastAsia="Times New Roman" w:cs="Calibri"/>
          <w:color w:val="000000"/>
          <w:sz w:val="28"/>
          <w:szCs w:val="28"/>
        </w:rPr>
        <w:t xml:space="preserve">Scotland Chinese Education Network </w:t>
      </w:r>
    </w:p>
    <w:p w14:paraId="7DD09705">
      <w:pPr>
        <w:rPr>
          <w:rFonts w:ascii="Calibri" w:hAnsi="Calibri" w:eastAsia="Times New Roman" w:cs="Calibri"/>
          <w:color w:val="000000"/>
          <w:sz w:val="28"/>
          <w:szCs w:val="28"/>
        </w:rPr>
      </w:pPr>
      <w:r>
        <w:rPr>
          <w:rFonts w:ascii="Calibri" w:hAnsi="Calibri" w:eastAsia="Times New Roman" w:cs="Calibri"/>
          <w:color w:val="000000"/>
          <w:sz w:val="28"/>
          <w:szCs w:val="28"/>
        </w:rPr>
        <w:t>6. Contact</w:t>
      </w:r>
      <w:r>
        <w:rPr>
          <w:rFonts w:hint="default" w:ascii="Calibri" w:hAnsi="Calibri" w:eastAsia="Times New Roman" w:cs="Calibri"/>
          <w:color w:val="000000"/>
          <w:sz w:val="28"/>
          <w:szCs w:val="28"/>
        </w:rPr>
        <w:t xml:space="preserve">: </w:t>
      </w:r>
      <w:r>
        <w:rPr>
          <w:rFonts w:ascii="Calibri" w:hAnsi="Calibri" w:eastAsia="Times New Roman" w:cs="Calibri"/>
          <w:color w:val="0563C1"/>
          <w:sz w:val="28"/>
          <w:szCs w:val="28"/>
        </w:rPr>
        <w:t>admin@scen.info</w:t>
      </w:r>
      <w:r>
        <w:rPr>
          <w:rFonts w:ascii="Calibri" w:hAnsi="Calibri" w:eastAsia="Times New Roman" w:cs="Calibri"/>
          <w:color w:val="000000"/>
          <w:sz w:val="28"/>
          <w:szCs w:val="28"/>
        </w:rPr>
        <w:t xml:space="preserve"> </w:t>
      </w:r>
    </w:p>
    <w:p w14:paraId="7417A8E6">
      <w:pPr>
        <w:rPr>
          <w:rFonts w:ascii="Calibri" w:hAnsi="Calibri" w:eastAsia="Times New Roman" w:cs="Calibri"/>
          <w:color w:val="000000"/>
          <w:sz w:val="28"/>
          <w:szCs w:val="28"/>
        </w:rPr>
      </w:pPr>
    </w:p>
    <w:p w14:paraId="26FF84CC">
      <w:pPr>
        <w:rPr>
          <w:rFonts w:hint="eastAsia" w:ascii="Calibri" w:hAnsi="Calibri" w:eastAsia="Times New Roman" w:cs="Calibri"/>
          <w:b/>
          <w:bCs/>
          <w:color w:val="000000"/>
        </w:rPr>
      </w:pPr>
      <w:r>
        <w:rPr>
          <w:rFonts w:hint="eastAsia" w:ascii="DengXian" w:hAnsi="DengXian" w:eastAsia="DengXian" w:cs="Times New Roman"/>
          <w:b/>
          <w:bCs/>
          <w:color w:val="000000"/>
        </w:rPr>
        <w:t>参赛规则：</w:t>
      </w:r>
    </w:p>
    <w:p w14:paraId="4DEE1089">
      <w:pPr>
        <w:rPr>
          <w:rFonts w:ascii="Times New Roman" w:hAnsi="Times New Roman" w:eastAsia="Times New Roman" w:cs="Times New Roman"/>
        </w:rPr>
      </w:pPr>
      <w:r>
        <w:rPr>
          <w:rFonts w:hint="eastAsia" w:ascii="DengXian" w:hAnsi="DengXian" w:eastAsia="DengXian" w:cs="Times New Roman"/>
          <w:color w:val="000000"/>
        </w:rPr>
        <w:t>1. 参赛选</w:t>
      </w:r>
      <w:r>
        <w:rPr>
          <w:rFonts w:hint="eastAsia" w:ascii="PingFang TC" w:hAnsi="PingFang TC" w:eastAsia="PingFang TC" w:cs="PingFang TC"/>
          <w:color w:val="000000"/>
        </w:rPr>
        <w:t>⼿</w:t>
      </w:r>
      <w:r>
        <w:rPr>
          <w:rFonts w:hint="eastAsia" w:ascii="DengXian" w:hAnsi="DengXian" w:eastAsia="DengXian" w:cs="Times New Roman"/>
          <w:color w:val="000000"/>
        </w:rPr>
        <w:t>必须年满五岁，当天</w:t>
      </w:r>
      <w:r>
        <w:rPr>
          <w:rFonts w:hint="eastAsia" w:ascii="PingFang TC" w:hAnsi="PingFang TC" w:eastAsia="PingFang TC" w:cs="PingFang TC"/>
          <w:color w:val="000000"/>
        </w:rPr>
        <w:t>⼀⼈</w:t>
      </w:r>
      <w:r>
        <w:rPr>
          <w:rFonts w:hint="eastAsia" w:ascii="DengXian" w:hAnsi="DengXian" w:eastAsia="DengXian" w:cs="Times New Roman"/>
          <w:color w:val="000000"/>
        </w:rPr>
        <w:t>只可出场</w:t>
      </w:r>
      <w:r>
        <w:rPr>
          <w:rFonts w:hint="eastAsia" w:ascii="PingFang TC" w:hAnsi="PingFang TC" w:eastAsia="PingFang TC" w:cs="PingFang TC"/>
          <w:color w:val="000000"/>
        </w:rPr>
        <w:t>⼀</w:t>
      </w:r>
      <w:r>
        <w:rPr>
          <w:rFonts w:hint="eastAsia" w:ascii="DengXian" w:hAnsi="DengXian" w:eastAsia="DengXian" w:cs="Times New Roman"/>
          <w:color w:val="000000"/>
        </w:rPr>
        <w:t>次。欢迎学校推荐学</w:t>
      </w:r>
      <w:r>
        <w:rPr>
          <w:rFonts w:hint="eastAsia" w:ascii="PingFang TC" w:hAnsi="PingFang TC" w:eastAsia="PingFang TC" w:cs="PingFang TC"/>
          <w:color w:val="000000"/>
        </w:rPr>
        <w:t>⽣</w:t>
      </w:r>
      <w:r>
        <w:rPr>
          <w:rFonts w:hint="eastAsia" w:ascii="DengXian" w:hAnsi="DengXian" w:eastAsia="DengXian" w:cs="Times New Roman"/>
          <w:color w:val="000000"/>
        </w:rPr>
        <w:t xml:space="preserve">及鼓励以小 </w:t>
      </w:r>
    </w:p>
    <w:p w14:paraId="055EF3E4">
      <w:pPr>
        <w:rPr>
          <w:rFonts w:ascii="Times New Roman" w:hAnsi="Times New Roman" w:eastAsia="Times New Roman" w:cs="Times New Roman"/>
        </w:rPr>
      </w:pPr>
      <w:r>
        <w:rPr>
          <w:rFonts w:hint="eastAsia" w:ascii="DengXian" w:hAnsi="DengXian" w:eastAsia="DengXian" w:cs="Times New Roman"/>
          <w:color w:val="000000"/>
        </w:rPr>
        <w:t xml:space="preserve">组形式参赛。 </w:t>
      </w:r>
    </w:p>
    <w:p w14:paraId="6197C9AB">
      <w:pPr>
        <w:rPr>
          <w:rFonts w:ascii="Times New Roman" w:hAnsi="Times New Roman" w:eastAsia="Times New Roman" w:cs="Times New Roman"/>
        </w:rPr>
      </w:pPr>
      <w:r>
        <w:rPr>
          <w:rFonts w:hint="eastAsia" w:ascii="DengXian" w:hAnsi="DengXian" w:eastAsia="DengXian" w:cs="Times New Roman"/>
          <w:color w:val="000000"/>
        </w:rPr>
        <w:t>2. 普通话朗诵选</w:t>
      </w:r>
      <w:r>
        <w:rPr>
          <w:rFonts w:hint="eastAsia" w:ascii="PingFang TC" w:hAnsi="PingFang TC" w:eastAsia="PingFang TC" w:cs="PingFang TC"/>
          <w:color w:val="000000"/>
        </w:rPr>
        <w:t>⼿</w:t>
      </w:r>
      <w:r>
        <w:rPr>
          <w:rFonts w:hint="eastAsia" w:ascii="DengXian" w:hAnsi="DengXian" w:eastAsia="DengXian" w:cs="Times New Roman"/>
          <w:color w:val="000000"/>
        </w:rPr>
        <w:t>按母语环境分为B、C、M、P四</w:t>
      </w:r>
      <w:r>
        <w:rPr>
          <w:rFonts w:hint="eastAsia" w:ascii="PingFang TC" w:hAnsi="PingFang TC" w:eastAsia="PingFang TC" w:cs="PingFang TC"/>
          <w:color w:val="000000"/>
        </w:rPr>
        <w:t>⼤</w:t>
      </w:r>
      <w:r>
        <w:rPr>
          <w:rFonts w:hint="eastAsia" w:ascii="DengXian" w:hAnsi="DengXian" w:eastAsia="DengXian" w:cs="Times New Roman"/>
          <w:color w:val="000000"/>
        </w:rPr>
        <w:t xml:space="preserve">组，报名时应该如实确定参赛者 </w:t>
      </w:r>
    </w:p>
    <w:p w14:paraId="492D3423">
      <w:pPr>
        <w:rPr>
          <w:rFonts w:ascii="Times New Roman" w:hAnsi="Times New Roman" w:eastAsia="Times New Roman" w:cs="Times New Roman"/>
        </w:rPr>
      </w:pPr>
      <w:r>
        <w:rPr>
          <w:rFonts w:hint="eastAsia" w:ascii="DengXian" w:hAnsi="DengXian" w:eastAsia="DengXian" w:cs="Times New Roman"/>
          <w:color w:val="000000"/>
        </w:rPr>
        <w:t>的语</w:t>
      </w:r>
      <w:r>
        <w:rPr>
          <w:rFonts w:hint="eastAsia" w:ascii="PingFang TC" w:hAnsi="PingFang TC" w:eastAsia="PingFang TC" w:cs="PingFang TC"/>
          <w:color w:val="000000"/>
        </w:rPr>
        <w:t>⾔</w:t>
      </w:r>
      <w:r>
        <w:rPr>
          <w:rFonts w:hint="eastAsia" w:ascii="DengXian" w:hAnsi="DengXian" w:eastAsia="DengXian" w:cs="Times New Roman"/>
          <w:color w:val="000000"/>
        </w:rPr>
        <w:t xml:space="preserve">环境和年龄: </w:t>
      </w:r>
    </w:p>
    <w:p w14:paraId="02C602CC">
      <w:pPr>
        <w:rPr>
          <w:rFonts w:ascii="DengXian" w:hAnsi="DengXian" w:eastAsia="DengXian" w:cs="Times New Roman"/>
          <w:color w:val="000000"/>
        </w:rPr>
      </w:pPr>
      <w:r>
        <w:rPr>
          <w:rFonts w:hint="eastAsia" w:ascii="DengXian" w:hAnsi="DengXian" w:eastAsia="DengXian" w:cs="Times New Roman"/>
          <w:color w:val="000000"/>
        </w:rPr>
        <w:t>B. 非华裔外语组 (双亲或养</w:t>
      </w:r>
      <w:r>
        <w:rPr>
          <w:rFonts w:hint="eastAsia" w:ascii="PingFang TC" w:hAnsi="PingFang TC" w:eastAsia="PingFang TC" w:cs="PingFang TC"/>
          <w:color w:val="000000"/>
        </w:rPr>
        <w:t>⽗</w:t>
      </w:r>
      <w:r>
        <w:rPr>
          <w:rFonts w:hint="eastAsia" w:ascii="DengXian" w:hAnsi="DengXian" w:eastAsia="DengXian" w:cs="Times New Roman"/>
          <w:color w:val="000000"/>
        </w:rPr>
        <w:t>母并非华</w:t>
      </w:r>
      <w:r>
        <w:rPr>
          <w:rFonts w:hint="eastAsia" w:ascii="PingFang TC" w:hAnsi="PingFang TC" w:eastAsia="PingFang TC" w:cs="PingFang TC"/>
          <w:color w:val="000000"/>
        </w:rPr>
        <w:t>⼈</w:t>
      </w:r>
      <w:r>
        <w:rPr>
          <w:rFonts w:ascii="DengXian" w:hAnsi="DengXian" w:eastAsia="DengXian" w:cs="Times New Roman"/>
          <w:color w:val="000000"/>
        </w:rPr>
        <w:t>)</w:t>
      </w:r>
      <w:r>
        <w:rPr>
          <w:rFonts w:hint="eastAsia" w:ascii="DengXian" w:hAnsi="DengXian" w:eastAsia="DengXian" w:cs="Times New Roman"/>
          <w:color w:val="000000"/>
        </w:rPr>
        <w:t xml:space="preserve">： </w:t>
      </w:r>
    </w:p>
    <w:p w14:paraId="1EACCB3D">
      <w:pPr>
        <w:rPr>
          <w:rFonts w:ascii="DengXian" w:hAnsi="DengXian" w:eastAsia="DengXian" w:cs="Times New Roman"/>
          <w:color w:val="000000"/>
        </w:rPr>
      </w:pPr>
      <w:r>
        <w:rPr>
          <w:rFonts w:hint="eastAsia" w:ascii="DengXian" w:hAnsi="DengXian" w:eastAsia="DengXian" w:cs="Times New Roman"/>
          <w:color w:val="000000"/>
        </w:rPr>
        <w:t xml:space="preserve">(B1) 5-11岁 </w:t>
      </w:r>
    </w:p>
    <w:p w14:paraId="13CE4FDA">
      <w:pPr>
        <w:rPr>
          <w:rFonts w:ascii="Times New Roman" w:hAnsi="Times New Roman" w:eastAsia="Times New Roman" w:cs="Times New Roman"/>
        </w:rPr>
      </w:pPr>
      <w:r>
        <w:rPr>
          <w:rFonts w:hint="eastAsia" w:ascii="DengXian" w:hAnsi="DengXian" w:eastAsia="DengXian" w:cs="Times New Roman"/>
          <w:color w:val="000000"/>
        </w:rPr>
        <w:t xml:space="preserve">(B2) 12-17岁 </w:t>
      </w:r>
    </w:p>
    <w:p w14:paraId="33537444">
      <w:pPr>
        <w:rPr>
          <w:rFonts w:ascii="DengXian" w:hAnsi="DengXian" w:eastAsia="DengXian" w:cs="Times New Roman"/>
          <w:color w:val="000000"/>
        </w:rPr>
      </w:pPr>
      <w:r>
        <w:rPr>
          <w:rFonts w:hint="eastAsia" w:ascii="DengXian" w:hAnsi="DengXian" w:eastAsia="DengXian" w:cs="Times New Roman"/>
          <w:color w:val="000000"/>
        </w:rPr>
        <w:t>C. 华裔普通话或其它</w:t>
      </w:r>
      <w:r>
        <w:rPr>
          <w:rFonts w:hint="eastAsia" w:ascii="PingFang TC" w:hAnsi="PingFang TC" w:eastAsia="PingFang TC" w:cs="PingFang TC"/>
          <w:color w:val="000000"/>
        </w:rPr>
        <w:t>⽅⾔</w:t>
      </w:r>
      <w:r>
        <w:rPr>
          <w:rFonts w:hint="eastAsia" w:ascii="DengXian" w:hAnsi="DengXian" w:eastAsia="DengXian" w:cs="Times New Roman"/>
          <w:color w:val="000000"/>
        </w:rPr>
        <w:t xml:space="preserve">组： </w:t>
      </w:r>
    </w:p>
    <w:p w14:paraId="483D886D">
      <w:pPr>
        <w:rPr>
          <w:rFonts w:ascii="DengXian" w:hAnsi="DengXian" w:eastAsia="DengXian" w:cs="Times New Roman"/>
          <w:color w:val="000000"/>
        </w:rPr>
      </w:pPr>
      <w:r>
        <w:rPr>
          <w:rFonts w:hint="eastAsia" w:ascii="DengXian" w:hAnsi="DengXian" w:eastAsia="DengXian" w:cs="Times New Roman"/>
          <w:color w:val="000000"/>
        </w:rPr>
        <w:t xml:space="preserve">(C1) 5-11岁 </w:t>
      </w:r>
    </w:p>
    <w:p w14:paraId="3F5515A7">
      <w:pPr>
        <w:rPr>
          <w:rFonts w:ascii="Times New Roman" w:hAnsi="Times New Roman" w:eastAsia="Times New Roman" w:cs="Times New Roman"/>
        </w:rPr>
      </w:pPr>
      <w:r>
        <w:rPr>
          <w:rFonts w:hint="eastAsia" w:ascii="DengXian" w:hAnsi="DengXian" w:eastAsia="DengXian" w:cs="Times New Roman"/>
          <w:color w:val="000000"/>
        </w:rPr>
        <w:t xml:space="preserve">(C2) 12-17岁 </w:t>
      </w:r>
    </w:p>
    <w:p w14:paraId="453A2471">
      <w:pPr>
        <w:rPr>
          <w:rFonts w:ascii="DengXian" w:hAnsi="DengXian" w:eastAsia="DengXian" w:cs="Times New Roman"/>
          <w:color w:val="000000"/>
        </w:rPr>
      </w:pPr>
      <w:r>
        <w:rPr>
          <w:rFonts w:hint="eastAsia" w:ascii="DengXian" w:hAnsi="DengXian" w:eastAsia="DengXian" w:cs="Times New Roman"/>
          <w:color w:val="000000"/>
        </w:rPr>
        <w:t xml:space="preserve">M. </w:t>
      </w:r>
      <w:r>
        <w:rPr>
          <w:rFonts w:hint="eastAsia" w:ascii="PingFang TC" w:hAnsi="PingFang TC" w:eastAsia="PingFang TC" w:cs="PingFang TC"/>
          <w:color w:val="000000"/>
        </w:rPr>
        <w:t>⽗</w:t>
      </w:r>
      <w:r>
        <w:rPr>
          <w:rFonts w:hint="eastAsia" w:ascii="DengXian" w:hAnsi="DengXian" w:eastAsia="DengXian" w:cs="Times New Roman"/>
          <w:color w:val="000000"/>
        </w:rPr>
        <w:t>母中的</w:t>
      </w:r>
      <w:r>
        <w:rPr>
          <w:rFonts w:hint="eastAsia" w:ascii="PingFang TC" w:hAnsi="PingFang TC" w:eastAsia="PingFang TC" w:cs="PingFang TC"/>
          <w:color w:val="000000"/>
        </w:rPr>
        <w:t>⼀⽅</w:t>
      </w:r>
      <w:r>
        <w:rPr>
          <w:rFonts w:hint="eastAsia" w:ascii="DengXian" w:hAnsi="DengXian" w:eastAsia="DengXian" w:cs="Times New Roman"/>
          <w:color w:val="000000"/>
        </w:rPr>
        <w:t>或养</w:t>
      </w:r>
      <w:r>
        <w:rPr>
          <w:rFonts w:hint="eastAsia" w:ascii="PingFang TC" w:hAnsi="PingFang TC" w:eastAsia="PingFang TC" w:cs="PingFang TC"/>
          <w:color w:val="000000"/>
        </w:rPr>
        <w:t>⽗</w:t>
      </w:r>
      <w:r>
        <w:rPr>
          <w:rFonts w:hint="eastAsia" w:ascii="DengXian" w:hAnsi="DengXian" w:eastAsia="DengXian" w:cs="Times New Roman"/>
          <w:color w:val="000000"/>
        </w:rPr>
        <w:t>母并非华</w:t>
      </w:r>
      <w:r>
        <w:rPr>
          <w:rFonts w:hint="eastAsia" w:ascii="PingFang TC" w:hAnsi="PingFang TC" w:eastAsia="PingFang TC" w:cs="PingFang TC"/>
          <w:color w:val="000000"/>
        </w:rPr>
        <w:t>⼈</w:t>
      </w:r>
      <w:r>
        <w:rPr>
          <w:rFonts w:hint="eastAsia" w:ascii="DengXian" w:hAnsi="DengXian" w:eastAsia="DengXian" w:cs="Times New Roman"/>
          <w:color w:val="000000"/>
        </w:rPr>
        <w:t xml:space="preserve">： </w:t>
      </w:r>
    </w:p>
    <w:p w14:paraId="79BE9F2C">
      <w:pPr>
        <w:rPr>
          <w:rFonts w:ascii="DengXian" w:hAnsi="DengXian" w:eastAsia="DengXian" w:cs="Times New Roman"/>
          <w:color w:val="000000"/>
        </w:rPr>
      </w:pPr>
      <w:r>
        <w:rPr>
          <w:rFonts w:hint="eastAsia" w:ascii="DengXian" w:hAnsi="DengXian" w:eastAsia="DengXian" w:cs="Times New Roman"/>
          <w:color w:val="000000"/>
        </w:rPr>
        <w:t xml:space="preserve">(M1) 5-11岁 </w:t>
      </w:r>
    </w:p>
    <w:p w14:paraId="5BFAD0B6">
      <w:pPr>
        <w:rPr>
          <w:rFonts w:ascii="Times New Roman" w:hAnsi="Times New Roman" w:eastAsia="Times New Roman" w:cs="Times New Roman"/>
        </w:rPr>
      </w:pPr>
      <w:r>
        <w:rPr>
          <w:rFonts w:hint="eastAsia" w:ascii="DengXian" w:hAnsi="DengXian" w:eastAsia="DengXian" w:cs="Times New Roman"/>
          <w:color w:val="000000"/>
        </w:rPr>
        <w:t xml:space="preserve">(M2) 12-17岁 </w:t>
      </w:r>
    </w:p>
    <w:p w14:paraId="1BA5255C">
      <w:pPr>
        <w:rPr>
          <w:rFonts w:ascii="DengXian" w:hAnsi="DengXian" w:eastAsia="DengXian" w:cs="Times New Roman"/>
          <w:color w:val="000000"/>
        </w:rPr>
      </w:pPr>
      <w:r>
        <w:rPr>
          <w:rFonts w:hint="eastAsia" w:ascii="DengXian" w:hAnsi="DengXian" w:eastAsia="DengXian" w:cs="Times New Roman"/>
          <w:color w:val="000000"/>
        </w:rPr>
        <w:t xml:space="preserve">P. 华裔粤语组 </w:t>
      </w:r>
    </w:p>
    <w:p w14:paraId="0343C56E">
      <w:pPr>
        <w:rPr>
          <w:rFonts w:ascii="DengXian" w:hAnsi="DengXian" w:eastAsia="DengXian" w:cs="Times New Roman"/>
          <w:color w:val="000000"/>
        </w:rPr>
      </w:pPr>
      <w:r>
        <w:rPr>
          <w:rFonts w:hint="eastAsia" w:ascii="DengXian" w:hAnsi="DengXian" w:eastAsia="DengXian" w:cs="Times New Roman"/>
          <w:color w:val="000000"/>
        </w:rPr>
        <w:t xml:space="preserve">(P1) 5-8岁 </w:t>
      </w:r>
    </w:p>
    <w:p w14:paraId="00DD888D">
      <w:pPr>
        <w:rPr>
          <w:rFonts w:ascii="DengXian" w:hAnsi="DengXian" w:eastAsia="DengXian" w:cs="Times New Roman"/>
          <w:color w:val="000000"/>
        </w:rPr>
      </w:pPr>
      <w:r>
        <w:rPr>
          <w:rFonts w:hint="eastAsia" w:ascii="DengXian" w:hAnsi="DengXian" w:eastAsia="DengXian" w:cs="Times New Roman"/>
          <w:color w:val="000000"/>
        </w:rPr>
        <w:t xml:space="preserve">(P2) 9-11岁 </w:t>
      </w:r>
    </w:p>
    <w:p w14:paraId="0AA19131">
      <w:pPr>
        <w:rPr>
          <w:rFonts w:ascii="Times New Roman" w:hAnsi="Times New Roman" w:eastAsia="Times New Roman" w:cs="Times New Roman"/>
        </w:rPr>
      </w:pPr>
      <w:r>
        <w:rPr>
          <w:rFonts w:hint="eastAsia" w:ascii="DengXian" w:hAnsi="DengXian" w:eastAsia="DengXian" w:cs="Times New Roman"/>
          <w:color w:val="000000"/>
        </w:rPr>
        <w:t xml:space="preserve">(P3) 12-17岁 </w:t>
      </w:r>
    </w:p>
    <w:p w14:paraId="5ABC8B78">
      <w:pPr>
        <w:rPr>
          <w:rFonts w:ascii="Times New Roman" w:hAnsi="Times New Roman" w:eastAsia="Times New Roman" w:cs="Times New Roman"/>
        </w:rPr>
      </w:pPr>
      <w:r>
        <w:rPr>
          <w:rFonts w:hint="eastAsia" w:ascii="DengXian" w:hAnsi="DengXian" w:eastAsia="DengXian" w:cs="Times New Roman"/>
          <w:color w:val="000000"/>
        </w:rPr>
        <w:t>3. 题材内容、程度、长短要与学</w:t>
      </w:r>
      <w:r>
        <w:rPr>
          <w:rFonts w:hint="eastAsia" w:ascii="PingFang TC" w:hAnsi="PingFang TC" w:eastAsia="PingFang TC" w:cs="PingFang TC"/>
          <w:color w:val="000000"/>
        </w:rPr>
        <w:t>⽣</w:t>
      </w:r>
      <w:r>
        <w:rPr>
          <w:rFonts w:hint="eastAsia" w:ascii="DengXian" w:hAnsi="DengXian" w:eastAsia="DengXian" w:cs="Times New Roman"/>
          <w:color w:val="000000"/>
        </w:rPr>
        <w:t>的</w:t>
      </w:r>
      <w:r>
        <w:rPr>
          <w:rFonts w:hint="eastAsia" w:ascii="PingFang TC" w:hAnsi="PingFang TC" w:eastAsia="PingFang TC" w:cs="PingFang TC"/>
          <w:color w:val="000000"/>
        </w:rPr>
        <w:t>⽔</w:t>
      </w:r>
      <w:r>
        <w:rPr>
          <w:rFonts w:hint="eastAsia" w:ascii="DengXian" w:hAnsi="DengXian" w:eastAsia="DengXian" w:cs="Times New Roman"/>
          <w:color w:val="000000"/>
        </w:rPr>
        <w:t>平、理解能</w:t>
      </w:r>
      <w:r>
        <w:rPr>
          <w:rFonts w:hint="eastAsia" w:ascii="PingFang TC" w:hAnsi="PingFang TC" w:eastAsia="PingFang TC" w:cs="PingFang TC"/>
          <w:color w:val="000000"/>
        </w:rPr>
        <w:t>⼒</w:t>
      </w:r>
      <w:r>
        <w:rPr>
          <w:rFonts w:hint="eastAsia" w:ascii="DengXian" w:hAnsi="DengXian" w:eastAsia="DengXian" w:cs="Times New Roman"/>
          <w:color w:val="000000"/>
        </w:rPr>
        <w:t xml:space="preserve">吻合。 </w:t>
      </w:r>
    </w:p>
    <w:p w14:paraId="7FFF8AED">
      <w:pPr>
        <w:rPr>
          <w:rFonts w:ascii="Times New Roman" w:hAnsi="Times New Roman" w:eastAsia="Times New Roman" w:cs="Times New Roman"/>
        </w:rPr>
      </w:pPr>
      <w:r>
        <w:rPr>
          <w:rFonts w:hint="eastAsia" w:ascii="DengXian" w:hAnsi="DengXian" w:eastAsia="DengXian" w:cs="Times New Roman"/>
          <w:color w:val="000000"/>
        </w:rPr>
        <w:t>4.表演</w:t>
      </w:r>
      <w:r>
        <w:rPr>
          <w:rFonts w:hint="eastAsia" w:ascii="PingFang TC" w:hAnsi="PingFang TC" w:eastAsia="PingFang TC" w:cs="PingFang TC"/>
          <w:color w:val="000000"/>
        </w:rPr>
        <w:t>⽅</w:t>
      </w:r>
      <w:r>
        <w:rPr>
          <w:rFonts w:hint="eastAsia" w:ascii="DengXian" w:hAnsi="DengXian" w:eastAsia="DengXian" w:cs="Times New Roman"/>
          <w:color w:val="000000"/>
        </w:rPr>
        <w:t>式以普通话朗诵为主，评委根据以下规则进</w:t>
      </w:r>
      <w:r>
        <w:rPr>
          <w:rFonts w:hint="eastAsia" w:ascii="PingFang TC" w:hAnsi="PingFang TC" w:eastAsia="PingFang TC" w:cs="PingFang TC"/>
          <w:color w:val="000000"/>
        </w:rPr>
        <w:t>⾏</w:t>
      </w:r>
      <w:r>
        <w:rPr>
          <w:rFonts w:hint="eastAsia" w:ascii="DengXian" w:hAnsi="DengXian" w:eastAsia="DengXian" w:cs="Times New Roman"/>
          <w:color w:val="000000"/>
        </w:rPr>
        <w:t xml:space="preserve">评比。除了朗诵，还可配上 </w:t>
      </w:r>
    </w:p>
    <w:p w14:paraId="2BC95AC1">
      <w:pPr>
        <w:rPr>
          <w:rFonts w:ascii="Times New Roman" w:hAnsi="Times New Roman" w:eastAsia="Times New Roman" w:cs="Times New Roman"/>
        </w:rPr>
      </w:pPr>
      <w:r>
        <w:rPr>
          <w:rFonts w:hint="eastAsia" w:ascii="DengXian" w:hAnsi="DengXian" w:eastAsia="DengXian" w:cs="Times New Roman"/>
          <w:color w:val="000000"/>
        </w:rPr>
        <w:t>唱歌、戏剧、舞蹈等演绎</w:t>
      </w:r>
      <w:r>
        <w:rPr>
          <w:rFonts w:hint="eastAsia" w:ascii="PingFang TC" w:hAnsi="PingFang TC" w:eastAsia="PingFang TC" w:cs="PingFang TC"/>
          <w:color w:val="000000"/>
        </w:rPr>
        <w:t>⼿</w:t>
      </w:r>
      <w:r>
        <w:rPr>
          <w:rFonts w:hint="eastAsia" w:ascii="DengXian" w:hAnsi="DengXian" w:eastAsia="DengXian" w:cs="Times New Roman"/>
          <w:color w:val="000000"/>
        </w:rPr>
        <w:t xml:space="preserve">法。 </w:t>
      </w:r>
    </w:p>
    <w:p w14:paraId="46A43697">
      <w:pPr>
        <w:numPr>
          <w:ilvl w:val="0"/>
          <w:numId w:val="1"/>
        </w:numPr>
        <w:rPr>
          <w:rFonts w:hint="eastAsia" w:ascii="DengXian" w:hAnsi="DengXian" w:eastAsia="DengXian" w:cs="Times New Roman"/>
          <w:color w:val="000000"/>
        </w:rPr>
      </w:pPr>
      <w:r>
        <w:rPr>
          <w:rFonts w:hint="eastAsia" w:ascii="DengXian" w:hAnsi="DengXian" w:eastAsia="DengXian" w:cs="Times New Roman"/>
          <w:color w:val="000000"/>
        </w:rPr>
        <w:t>个</w:t>
      </w:r>
      <w:r>
        <w:rPr>
          <w:rFonts w:hint="eastAsia" w:ascii="PingFang TC" w:hAnsi="PingFang TC" w:eastAsia="PingFang TC" w:cs="PingFang TC"/>
          <w:color w:val="000000"/>
        </w:rPr>
        <w:t>⼈</w:t>
      </w:r>
      <w:r>
        <w:rPr>
          <w:rFonts w:hint="eastAsia" w:ascii="DengXian" w:hAnsi="DengXian" w:eastAsia="DengXian" w:cs="Times New Roman"/>
          <w:color w:val="000000"/>
        </w:rPr>
        <w:t>朗诵：时间不超过2分钟</w:t>
      </w:r>
      <w:r>
        <w:rPr>
          <w:rFonts w:ascii="DengXian" w:hAnsi="DengXian" w:eastAsia="DengXian" w:cs="Times New Roman"/>
          <w:color w:val="000000"/>
        </w:rPr>
        <w:t>,</w:t>
      </w:r>
      <w:r>
        <w:rPr>
          <w:rFonts w:hint="eastAsia" w:ascii="DengXian" w:hAnsi="DengXian" w:eastAsia="DengXian" w:cs="Times New Roman"/>
          <w:color w:val="000000"/>
        </w:rPr>
        <w:t xml:space="preserve"> 评选根据选</w:t>
      </w:r>
      <w:r>
        <w:rPr>
          <w:rFonts w:hint="eastAsia" w:ascii="PingFang TC" w:hAnsi="PingFang TC" w:eastAsia="PingFang TC" w:cs="PingFang TC"/>
          <w:color w:val="000000"/>
        </w:rPr>
        <w:t>⼿</w:t>
      </w:r>
      <w:r>
        <w:rPr>
          <w:rFonts w:hint="eastAsia" w:ascii="DengXian" w:hAnsi="DengXian" w:eastAsia="DengXian" w:cs="Times New Roman"/>
          <w:color w:val="000000"/>
        </w:rPr>
        <w:t>作品的内容(5分</w:t>
      </w:r>
      <w:r>
        <w:rPr>
          <w:rFonts w:ascii="DengXian" w:hAnsi="DengXian" w:eastAsia="DengXian" w:cs="Times New Roman"/>
          <w:color w:val="000000"/>
        </w:rPr>
        <w:t>)</w:t>
      </w:r>
      <w:r>
        <w:rPr>
          <w:rFonts w:ascii="DengXian" w:hAnsi="DengXian" w:eastAsia="DengXian" w:cs="Times New Roman"/>
          <w:color w:val="000000"/>
          <w:lang w:val="en-US"/>
        </w:rPr>
        <w:t xml:space="preserve">, </w:t>
      </w:r>
      <w:r>
        <w:rPr>
          <w:rFonts w:ascii="DengXian" w:hAnsi="DengXian" w:eastAsia="DengXian" w:cs="Times New Roman"/>
          <w:color w:val="000000"/>
        </w:rPr>
        <w:t>发音</w:t>
      </w:r>
      <w:r>
        <w:rPr>
          <w:rFonts w:hint="eastAsia" w:ascii="DengXian" w:hAnsi="DengXian" w:eastAsia="DengXian" w:cs="Times New Roman"/>
          <w:color w:val="000000"/>
        </w:rPr>
        <w:t>(20分), 声调</w:t>
      </w:r>
      <w:r>
        <w:rPr>
          <w:rFonts w:ascii="DengXian" w:hAnsi="DengXian" w:eastAsia="DengXian" w:cs="Times New Roman"/>
          <w:color w:val="000000"/>
        </w:rPr>
        <w:t xml:space="preserve"> (</w:t>
      </w:r>
      <w:r>
        <w:rPr>
          <w:rFonts w:hint="eastAsia" w:ascii="DengXian" w:hAnsi="DengXian" w:eastAsia="DengXian" w:cs="Times New Roman"/>
          <w:color w:val="000000"/>
        </w:rPr>
        <w:t>10分),</w:t>
      </w:r>
      <w:r>
        <w:rPr>
          <w:rFonts w:ascii="DengXian" w:hAnsi="DengXian" w:eastAsia="DengXian" w:cs="Times New Roman"/>
          <w:color w:val="000000"/>
        </w:rPr>
        <w:t xml:space="preserve"> </w:t>
      </w:r>
      <w:r>
        <w:rPr>
          <w:rFonts w:hint="eastAsia" w:ascii="DengXian" w:hAnsi="DengXian" w:eastAsia="DengXian" w:cs="Times New Roman"/>
          <w:color w:val="000000"/>
          <w:lang w:val="en-US" w:eastAsia="zh-CN"/>
        </w:rPr>
        <w:t>表达与表现</w:t>
      </w:r>
      <w:r>
        <w:rPr>
          <w:rFonts w:hint="eastAsia" w:ascii="DengXian" w:hAnsi="DengXian" w:eastAsia="DengXian" w:cs="Times New Roman"/>
          <w:color w:val="000000"/>
        </w:rPr>
        <w:t>(</w:t>
      </w:r>
      <w:r>
        <w:rPr>
          <w:rFonts w:hint="eastAsia" w:ascii="DengXian" w:hAnsi="DengXian" w:eastAsia="DengXian" w:cs="Times New Roman"/>
          <w:color w:val="000000"/>
          <w:lang w:val="en-US" w:eastAsia="zh-CN"/>
        </w:rPr>
        <w:t>1</w:t>
      </w:r>
      <w:r>
        <w:rPr>
          <w:rFonts w:hint="eastAsia" w:ascii="DengXian" w:hAnsi="DengXian" w:eastAsia="DengXian" w:cs="Times New Roman"/>
          <w:color w:val="000000"/>
        </w:rPr>
        <w:t>5分)</w:t>
      </w:r>
      <w:r>
        <w:rPr>
          <w:rFonts w:hint="eastAsia" w:ascii="DengXian" w:hAnsi="DengXian" w:eastAsia="DengXian" w:cs="Times New Roman"/>
          <w:color w:val="000000"/>
          <w:lang w:val="en-US" w:eastAsia="zh-CN"/>
        </w:rPr>
        <w:t>进行打分</w:t>
      </w:r>
      <w:r>
        <w:rPr>
          <w:rFonts w:hint="eastAsia" w:ascii="DengXian" w:hAnsi="DengXian" w:eastAsia="DengXian" w:cs="Times New Roman"/>
          <w:color w:val="000000"/>
        </w:rPr>
        <w:t>,</w:t>
      </w:r>
      <w:r>
        <w:rPr>
          <w:rFonts w:ascii="DengXian" w:hAnsi="DengXian" w:eastAsia="DengXian" w:cs="Times New Roman"/>
          <w:color w:val="000000"/>
        </w:rPr>
        <w:t xml:space="preserve"> </w:t>
      </w:r>
      <w:r>
        <w:rPr>
          <w:rFonts w:hint="eastAsia" w:ascii="DengXian" w:hAnsi="DengXian" w:eastAsia="DengXian" w:cs="Times New Roman"/>
          <w:color w:val="000000"/>
        </w:rPr>
        <w:t>总分</w:t>
      </w:r>
      <w:r>
        <w:rPr>
          <w:rFonts w:hint="eastAsia" w:ascii="DengXian" w:hAnsi="DengXian" w:eastAsia="DengXian" w:cs="Times New Roman"/>
          <w:color w:val="000000"/>
          <w:lang w:val="en-US" w:eastAsia="zh-CN"/>
        </w:rPr>
        <w:t>5</w:t>
      </w:r>
      <w:r>
        <w:rPr>
          <w:rFonts w:hint="eastAsia" w:ascii="DengXian" w:hAnsi="DengXian" w:eastAsia="DengXian" w:cs="Times New Roman"/>
          <w:color w:val="000000"/>
        </w:rPr>
        <w:t xml:space="preserve">0。 </w:t>
      </w:r>
    </w:p>
    <w:p w14:paraId="349B26A9">
      <w:pPr>
        <w:numPr>
          <w:ilvl w:val="0"/>
          <w:numId w:val="1"/>
        </w:numPr>
        <w:ind w:left="0" w:leftChars="0" w:firstLine="0" w:firstLineChars="0"/>
        <w:rPr>
          <w:rFonts w:hint="eastAsia" w:ascii="DengXian" w:hAnsi="DengXian" w:eastAsia="DengXian" w:cs="Times New Roman"/>
          <w:color w:val="000000"/>
        </w:rPr>
      </w:pPr>
      <w:r>
        <w:rPr>
          <w:rFonts w:hint="eastAsia" w:ascii="DengXian" w:hAnsi="DengXian" w:eastAsia="DengXian" w:cs="Times New Roman"/>
          <w:color w:val="000000"/>
        </w:rPr>
        <w:t>集体朗诵：时间不超过4分钟, 评选根据作品的内容(5分</w:t>
      </w:r>
      <w:r>
        <w:rPr>
          <w:rFonts w:ascii="DengXian" w:hAnsi="DengXian" w:eastAsia="DengXian" w:cs="Times New Roman"/>
          <w:color w:val="000000"/>
        </w:rPr>
        <w:t>),</w:t>
      </w:r>
      <w:r>
        <w:rPr>
          <w:rFonts w:hint="eastAsia" w:ascii="DengXian" w:hAnsi="DengXian" w:eastAsia="DengXian" w:cs="Times New Roman"/>
          <w:color w:val="000000"/>
        </w:rPr>
        <w:t xml:space="preserve"> 发音(20分),</w:t>
      </w:r>
      <w:r>
        <w:rPr>
          <w:rFonts w:ascii="DengXian" w:hAnsi="DengXian" w:eastAsia="DengXian" w:cs="Times New Roman"/>
          <w:color w:val="000000"/>
        </w:rPr>
        <w:t xml:space="preserve"> </w:t>
      </w:r>
      <w:r>
        <w:rPr>
          <w:rFonts w:hint="eastAsia" w:ascii="DengXian" w:hAnsi="DengXian" w:eastAsia="DengXian" w:cs="Times New Roman"/>
          <w:color w:val="000000"/>
        </w:rPr>
        <w:t>声调(10分</w:t>
      </w:r>
      <w:r>
        <w:rPr>
          <w:rFonts w:ascii="DengXian" w:hAnsi="DengXian" w:eastAsia="DengXian" w:cs="Times New Roman"/>
          <w:color w:val="000000"/>
        </w:rPr>
        <w:t>),</w:t>
      </w:r>
      <w:r>
        <w:rPr>
          <w:rFonts w:hint="eastAsia" w:ascii="DengXian" w:hAnsi="DengXian" w:eastAsia="DengXian" w:cs="Times New Roman"/>
          <w:color w:val="000000"/>
        </w:rPr>
        <w:t xml:space="preserve"> 演绎(15分)</w:t>
      </w:r>
      <w:r>
        <w:rPr>
          <w:rFonts w:hint="eastAsia" w:ascii="DengXian" w:hAnsi="DengXian" w:eastAsia="DengXian" w:cs="Times New Roman"/>
          <w:color w:val="000000"/>
          <w:lang w:val="en-US" w:eastAsia="zh-CN"/>
        </w:rPr>
        <w:t>进行打分</w:t>
      </w:r>
      <w:r>
        <w:rPr>
          <w:rFonts w:hint="eastAsia" w:ascii="DengXian" w:hAnsi="DengXian" w:eastAsia="DengXian" w:cs="Times New Roman"/>
          <w:color w:val="000000"/>
        </w:rPr>
        <w:t>,</w:t>
      </w:r>
      <w:r>
        <w:rPr>
          <w:rFonts w:ascii="DengXian" w:hAnsi="DengXian" w:eastAsia="DengXian" w:cs="Times New Roman"/>
          <w:color w:val="000000"/>
        </w:rPr>
        <w:t xml:space="preserve"> </w:t>
      </w:r>
      <w:r>
        <w:rPr>
          <w:rFonts w:hint="eastAsia" w:ascii="DengXian" w:hAnsi="DengXian" w:eastAsia="DengXian" w:cs="Times New Roman"/>
          <w:color w:val="000000"/>
        </w:rPr>
        <w:t xml:space="preserve">总分50。 </w:t>
      </w:r>
    </w:p>
    <w:p w14:paraId="5831E410">
      <w:pPr>
        <w:rPr>
          <w:rFonts w:hint="eastAsia" w:ascii="DengXian" w:hAnsi="DengXian" w:eastAsia="DengXian" w:cs="Times New Roman"/>
          <w:color w:val="000000"/>
        </w:rPr>
      </w:pPr>
    </w:p>
    <w:p w14:paraId="7FB6DDCD">
      <w:pPr>
        <w:rPr>
          <w:rFonts w:hint="eastAsia" w:ascii="DengXian" w:hAnsi="DengXian" w:eastAsia="DengXian" w:cs="Times New Roman"/>
          <w:color w:val="000000"/>
        </w:rPr>
      </w:pPr>
    </w:p>
    <w:p w14:paraId="712AE8F5">
      <w:pPr>
        <w:rPr>
          <w:rFonts w:hint="eastAsia" w:ascii="DengXian" w:hAnsi="DengXian" w:eastAsia="DengXian" w:cs="Times New Roman"/>
          <w:color w:val="000000"/>
        </w:rPr>
      </w:pPr>
    </w:p>
    <w:tbl>
      <w:tblPr>
        <w:tblStyle w:val="4"/>
        <w:tblW w:w="0" w:type="auto"/>
        <w:tblCellSpacing w:w="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65"/>
        <w:gridCol w:w="667"/>
        <w:gridCol w:w="667"/>
        <w:gridCol w:w="6132"/>
      </w:tblGrid>
      <w:tr w14:paraId="00CD7EAB">
        <w:trPr>
          <w:tblHeader/>
          <w:tblCellSpacing w:w="15" w:type="dxa"/>
        </w:trPr>
        <w:tc>
          <w:tcPr>
            <w:tcW w:w="0" w:type="auto"/>
            <w:tcBorders>
              <w:top w:val="single" w:color="4472C4" w:themeColor="accent1" w:sz="6" w:space="0"/>
              <w:left w:val="single" w:color="4472C4" w:themeColor="accent1" w:sz="6" w:space="0"/>
              <w:bottom w:val="single" w:color="4472C4" w:themeColor="accent1" w:sz="6" w:space="0"/>
              <w:right w:val="single" w:color="B4C6E7" w:themeColor="accent1" w:themeTint="66" w:sz="6" w:space="0"/>
            </w:tcBorders>
            <w:shd w:val="clear" w:color="auto" w:fill="4472C4" w:themeFill="accent1"/>
            <w:vAlign w:val="center"/>
          </w:tcPr>
          <w:p w14:paraId="75481AD6">
            <w:pPr>
              <w:keepNext w:val="0"/>
              <w:keepLines w:val="0"/>
              <w:widowControl/>
              <w:suppressLineNumbers w:val="0"/>
              <w:jc w:val="center"/>
              <w:rPr>
                <w:b/>
                <w:bCs/>
                <w:i w:val="0"/>
                <w:color w:val="FFFFFF"/>
              </w:rPr>
            </w:pPr>
            <w:r>
              <w:rPr>
                <w:rFonts w:ascii="SimSun" w:hAnsi="SimSun" w:eastAsia="SimSun" w:cs="SimSun"/>
                <w:b/>
                <w:bCs/>
                <w:i w:val="0"/>
                <w:color w:val="FFFFFF"/>
                <w:kern w:val="0"/>
                <w:sz w:val="24"/>
                <w:szCs w:val="24"/>
                <w:lang w:val="en-US" w:eastAsia="zh-CN" w:bidi="ar"/>
                <w14:ligatures w14:val="none"/>
              </w:rPr>
              <w:t>评分项目</w:t>
            </w:r>
          </w:p>
        </w:tc>
        <w:tc>
          <w:tcPr>
            <w:tcW w:w="0" w:type="auto"/>
            <w:tcBorders>
              <w:top w:val="single" w:color="4472C4" w:themeColor="accent1" w:sz="6" w:space="0"/>
              <w:left w:val="single" w:color="B4C6E7" w:themeColor="accent1" w:themeTint="66" w:sz="6" w:space="0"/>
              <w:bottom w:val="single" w:color="4472C4" w:themeColor="accent1" w:sz="6" w:space="0"/>
              <w:right w:val="single" w:color="B4C6E7" w:themeColor="accent1" w:themeTint="66" w:sz="6" w:space="0"/>
            </w:tcBorders>
            <w:shd w:val="clear" w:color="auto" w:fill="4472C4" w:themeFill="accent1"/>
            <w:vAlign w:val="center"/>
          </w:tcPr>
          <w:p w14:paraId="598B6961">
            <w:pPr>
              <w:keepNext w:val="0"/>
              <w:keepLines w:val="0"/>
              <w:widowControl/>
              <w:suppressLineNumbers w:val="0"/>
              <w:jc w:val="center"/>
              <w:rPr>
                <w:b/>
                <w:bCs/>
                <w:i w:val="0"/>
                <w:color w:val="FFFFFF"/>
              </w:rPr>
            </w:pPr>
            <w:r>
              <w:rPr>
                <w:rFonts w:ascii="SimSun" w:hAnsi="SimSun" w:eastAsia="SimSun" w:cs="SimSun"/>
                <w:b/>
                <w:bCs/>
                <w:i w:val="0"/>
                <w:color w:val="FFFFFF"/>
                <w:kern w:val="0"/>
                <w:sz w:val="24"/>
                <w:szCs w:val="24"/>
                <w:lang w:val="en-US" w:eastAsia="zh-CN" w:bidi="ar"/>
                <w14:ligatures w14:val="none"/>
              </w:rPr>
              <w:t>个人朗诵</w:t>
            </w:r>
          </w:p>
        </w:tc>
        <w:tc>
          <w:tcPr>
            <w:tcW w:w="0" w:type="auto"/>
            <w:tcBorders>
              <w:top w:val="single" w:color="4472C4" w:themeColor="accent1" w:sz="6" w:space="0"/>
              <w:left w:val="single" w:color="B4C6E7" w:themeColor="accent1" w:themeTint="66" w:sz="6" w:space="0"/>
              <w:bottom w:val="single" w:color="4472C4" w:themeColor="accent1" w:sz="6" w:space="0"/>
              <w:right w:val="single" w:color="B4C6E7" w:themeColor="accent1" w:themeTint="66" w:sz="6" w:space="0"/>
            </w:tcBorders>
            <w:shd w:val="clear" w:color="auto" w:fill="4472C4" w:themeFill="accent1"/>
            <w:vAlign w:val="center"/>
          </w:tcPr>
          <w:p w14:paraId="53C54AB7">
            <w:pPr>
              <w:keepNext w:val="0"/>
              <w:keepLines w:val="0"/>
              <w:widowControl/>
              <w:suppressLineNumbers w:val="0"/>
              <w:jc w:val="center"/>
              <w:rPr>
                <w:b/>
                <w:bCs/>
                <w:i w:val="0"/>
                <w:color w:val="FFFFFF"/>
              </w:rPr>
            </w:pPr>
            <w:r>
              <w:rPr>
                <w:rFonts w:ascii="SimSun" w:hAnsi="SimSun" w:eastAsia="SimSun" w:cs="SimSun"/>
                <w:b/>
                <w:bCs/>
                <w:i w:val="0"/>
                <w:color w:val="FFFFFF"/>
                <w:kern w:val="0"/>
                <w:sz w:val="24"/>
                <w:szCs w:val="24"/>
                <w:lang w:val="en-US" w:eastAsia="zh-CN" w:bidi="ar"/>
                <w14:ligatures w14:val="none"/>
              </w:rPr>
              <w:t>集体朗诵</w:t>
            </w:r>
          </w:p>
        </w:tc>
        <w:tc>
          <w:tcPr>
            <w:tcW w:w="0" w:type="auto"/>
            <w:tcBorders>
              <w:top w:val="single" w:color="4472C4" w:themeColor="accent1" w:sz="6" w:space="0"/>
              <w:left w:val="single" w:color="B4C6E7" w:themeColor="accent1" w:themeTint="66" w:sz="6" w:space="0"/>
              <w:bottom w:val="single" w:color="4472C4" w:themeColor="accent1" w:sz="6" w:space="0"/>
              <w:right w:val="single" w:color="4472C4" w:themeColor="accent1" w:sz="6" w:space="0"/>
            </w:tcBorders>
            <w:shd w:val="clear" w:color="auto" w:fill="4472C4" w:themeFill="accent1"/>
            <w:vAlign w:val="center"/>
          </w:tcPr>
          <w:p w14:paraId="448AE676">
            <w:pPr>
              <w:keepNext w:val="0"/>
              <w:keepLines w:val="0"/>
              <w:widowControl/>
              <w:suppressLineNumbers w:val="0"/>
              <w:jc w:val="center"/>
              <w:rPr>
                <w:b/>
                <w:bCs/>
                <w:i w:val="0"/>
                <w:color w:val="FFFFFF"/>
              </w:rPr>
            </w:pPr>
            <w:r>
              <w:rPr>
                <w:rFonts w:ascii="SimSun" w:hAnsi="SimSun" w:eastAsia="SimSun" w:cs="SimSun"/>
                <w:b/>
                <w:bCs/>
                <w:i w:val="0"/>
                <w:color w:val="FFFFFF"/>
                <w:kern w:val="0"/>
                <w:sz w:val="24"/>
                <w:szCs w:val="24"/>
                <w:lang w:val="en-US" w:eastAsia="zh-CN" w:bidi="ar"/>
                <w14:ligatures w14:val="none"/>
              </w:rPr>
              <w:t>评分说明</w:t>
            </w:r>
          </w:p>
        </w:tc>
      </w:tr>
      <w:tr w14:paraId="1C65889D">
        <w:trPr>
          <w:tblCellSpacing w:w="15" w:type="dxa"/>
        </w:trPr>
        <w:tc>
          <w:tcPr>
            <w:tcW w:w="0" w:type="auto"/>
            <w:tcBorders>
              <w:top w:val="single" w:color="4472C4" w:themeColor="accent1" w:sz="6" w:space="0"/>
              <w:left w:val="single" w:color="4472C4" w:themeColor="accent1" w:sz="6" w:space="0"/>
              <w:bottom w:val="single" w:color="B4C6E7" w:themeColor="accent1" w:themeTint="66" w:sz="6" w:space="0"/>
              <w:right w:val="single" w:color="B4C6E7" w:themeColor="accent1" w:themeTint="66" w:sz="6" w:space="0"/>
            </w:tcBorders>
            <w:shd w:val="clear" w:color="auto" w:fill="FFFFFF"/>
            <w:vAlign w:val="center"/>
          </w:tcPr>
          <w:p w14:paraId="231C8E95">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内容</w:t>
            </w:r>
          </w:p>
        </w:tc>
        <w:tc>
          <w:tcPr>
            <w:tcW w:w="0" w:type="auto"/>
            <w:tcBorders>
              <w:top w:val="single" w:color="4472C4" w:themeColor="accent1"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4763E1F7">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5</w:t>
            </w:r>
          </w:p>
        </w:tc>
        <w:tc>
          <w:tcPr>
            <w:tcW w:w="0" w:type="auto"/>
            <w:tcBorders>
              <w:top w:val="single" w:color="4472C4" w:themeColor="accent1"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4BBE1B49">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5</w:t>
            </w:r>
          </w:p>
        </w:tc>
        <w:tc>
          <w:tcPr>
            <w:tcW w:w="0" w:type="auto"/>
            <w:tcBorders>
              <w:top w:val="single" w:color="4472C4" w:themeColor="accent1" w:sz="6" w:space="0"/>
              <w:left w:val="single" w:color="B4C6E7" w:themeColor="accent1" w:themeTint="66" w:sz="6" w:space="0"/>
              <w:bottom w:val="single" w:color="B4C6E7" w:themeColor="accent1" w:themeTint="66" w:sz="6" w:space="0"/>
              <w:right w:val="single" w:color="4472C4" w:themeColor="accent1" w:sz="6" w:space="0"/>
            </w:tcBorders>
            <w:shd w:val="clear" w:color="auto" w:fill="FFFFFF"/>
            <w:vAlign w:val="center"/>
          </w:tcPr>
          <w:p w14:paraId="02704A9C">
            <w:pPr>
              <w:keepNext w:val="0"/>
              <w:keepLines w:val="0"/>
              <w:widowControl/>
              <w:suppressLineNumbers w:val="0"/>
              <w:jc w:val="left"/>
              <w:rPr>
                <w:b w:val="0"/>
                <w:i w:val="0"/>
                <w:color w:val="000000"/>
              </w:rPr>
            </w:pPr>
            <w:r>
              <w:rPr>
                <w:rFonts w:ascii="SimSun" w:hAnsi="SimSun" w:eastAsia="SimSun" w:cs="SimSun"/>
                <w:b w:val="0"/>
                <w:i w:val="0"/>
                <w:color w:val="000000"/>
                <w:kern w:val="0"/>
                <w:sz w:val="24"/>
                <w:szCs w:val="24"/>
                <w:lang w:val="en-US" w:eastAsia="zh-CN" w:bidi="ar"/>
                <w14:ligatures w14:val="none"/>
              </w:rPr>
              <w:t>朗诵内容应符合参赛者的年龄、普通话水平和理解能力，并适合相应的朗诵形式。</w:t>
            </w:r>
          </w:p>
        </w:tc>
      </w:tr>
      <w:tr w14:paraId="05B1A956">
        <w:trPr>
          <w:tblCellSpacing w:w="15" w:type="dxa"/>
        </w:trPr>
        <w:tc>
          <w:tcPr>
            <w:tcW w:w="0" w:type="auto"/>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4205C85C">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发音</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2EFAFD59">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20</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02AFEF6D">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20</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ECF1F9" w:themeFill="accent1" w:themeFillTint="19"/>
            <w:vAlign w:val="center"/>
          </w:tcPr>
          <w:p w14:paraId="6E7FEDC6">
            <w:pPr>
              <w:keepNext w:val="0"/>
              <w:keepLines w:val="0"/>
              <w:widowControl/>
              <w:suppressLineNumbers w:val="0"/>
              <w:jc w:val="left"/>
              <w:rPr>
                <w:b w:val="0"/>
                <w:i w:val="0"/>
                <w:color w:val="000000"/>
              </w:rPr>
            </w:pPr>
            <w:r>
              <w:rPr>
                <w:rFonts w:ascii="SimSun" w:hAnsi="SimSun" w:eastAsia="SimSun" w:cs="SimSun"/>
                <w:b w:val="0"/>
                <w:i w:val="0"/>
                <w:color w:val="000000"/>
                <w:kern w:val="0"/>
                <w:sz w:val="24"/>
                <w:szCs w:val="24"/>
                <w:lang w:val="en-US" w:eastAsia="zh-CN" w:bidi="ar"/>
                <w14:ligatures w14:val="none"/>
              </w:rPr>
              <w:t>普通话发音准确、清晰，包括声母、韵母的准确程度及整体语言的清晰度。</w:t>
            </w:r>
          </w:p>
        </w:tc>
      </w:tr>
      <w:tr w14:paraId="3C700951">
        <w:trPr>
          <w:tblCellSpacing w:w="15" w:type="dxa"/>
        </w:trPr>
        <w:tc>
          <w:tcPr>
            <w:tcW w:w="0" w:type="auto"/>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FFFFFF"/>
            <w:vAlign w:val="center"/>
          </w:tcPr>
          <w:p w14:paraId="3C9C5A50">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声调</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54C739BE">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10</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189385E3">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10</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FFFFFF"/>
            <w:vAlign w:val="center"/>
          </w:tcPr>
          <w:p w14:paraId="34D51917">
            <w:pPr>
              <w:keepNext w:val="0"/>
              <w:keepLines w:val="0"/>
              <w:widowControl/>
              <w:suppressLineNumbers w:val="0"/>
              <w:jc w:val="left"/>
              <w:rPr>
                <w:b w:val="0"/>
                <w:i w:val="0"/>
                <w:color w:val="000000"/>
              </w:rPr>
            </w:pPr>
            <w:r>
              <w:rPr>
                <w:rFonts w:ascii="SimSun" w:hAnsi="SimSun" w:eastAsia="SimSun" w:cs="SimSun"/>
                <w:b w:val="0"/>
                <w:i w:val="0"/>
                <w:color w:val="000000"/>
                <w:kern w:val="0"/>
                <w:sz w:val="24"/>
                <w:szCs w:val="24"/>
                <w:lang w:val="en-US" w:eastAsia="zh-CN" w:bidi="ar"/>
                <w14:ligatures w14:val="none"/>
              </w:rPr>
              <w:t>普通话声调准确、自然，包括四声及语流中相关变调的正确运用。</w:t>
            </w:r>
          </w:p>
        </w:tc>
      </w:tr>
      <w:tr w14:paraId="4C7AE6DE">
        <w:trPr>
          <w:tblCellSpacing w:w="15" w:type="dxa"/>
        </w:trPr>
        <w:tc>
          <w:tcPr>
            <w:tcW w:w="0" w:type="auto"/>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30713169">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表达与表现 / 集体表现与配合</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69A06B03">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15</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5C0C7209">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15</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ECF1F9" w:themeFill="accent1" w:themeFillTint="19"/>
            <w:vAlign w:val="center"/>
          </w:tcPr>
          <w:p w14:paraId="25B93633">
            <w:pPr>
              <w:keepNext w:val="0"/>
              <w:keepLines w:val="0"/>
              <w:widowControl/>
              <w:suppressLineNumbers w:val="0"/>
              <w:jc w:val="left"/>
              <w:rPr>
                <w:rFonts w:ascii="SimSun" w:hAnsi="SimSun" w:eastAsia="SimSun" w:cs="SimSun"/>
                <w:b w:val="0"/>
                <w:i w:val="0"/>
                <w:color w:val="000000"/>
                <w:kern w:val="0"/>
                <w:sz w:val="24"/>
                <w:szCs w:val="24"/>
                <w:lang w:val="en-US" w:eastAsia="zh-CN" w:bidi="ar"/>
                <w14:ligatures w14:val="none"/>
              </w:rPr>
            </w:pPr>
            <w:r>
              <w:rPr>
                <w:rFonts w:hint="eastAsia" w:ascii="SimSun" w:hAnsi="SimSun" w:eastAsia="SimSun" w:cs="SimSun"/>
                <w:b w:val="0"/>
                <w:i w:val="0"/>
                <w:color w:val="000000"/>
                <w:kern w:val="0"/>
                <w:sz w:val="24"/>
                <w:szCs w:val="24"/>
                <w:lang w:val="en-US" w:eastAsia="zh-CN" w:bidi="ar"/>
                <w14:ligatures w14:val="none"/>
              </w:rPr>
              <w:t>*</w:t>
            </w:r>
            <w:r>
              <w:rPr>
                <w:rFonts w:ascii="SimSun" w:hAnsi="SimSun" w:eastAsia="SimSun" w:cs="SimSun"/>
                <w:b w:val="0"/>
                <w:i w:val="0"/>
                <w:color w:val="000000"/>
                <w:kern w:val="0"/>
                <w:sz w:val="24"/>
                <w:szCs w:val="24"/>
                <w:lang w:val="en-US" w:eastAsia="zh-CN" w:bidi="ar"/>
                <w14:ligatures w14:val="none"/>
              </w:rPr>
              <w:t>个人朗诵</w:t>
            </w:r>
            <w:r>
              <w:rPr>
                <w:rFonts w:hint="eastAsia" w:ascii="SimSun" w:hAnsi="SimSun" w:eastAsia="SimSun" w:cs="SimSun"/>
                <w:b w:val="0"/>
                <w:i w:val="0"/>
                <w:color w:val="000000"/>
                <w:kern w:val="0"/>
                <w:sz w:val="24"/>
                <w:szCs w:val="24"/>
                <w:lang w:val="en-US" w:eastAsia="zh-CN" w:bidi="ar"/>
                <w14:ligatures w14:val="none"/>
              </w:rPr>
              <w:t>：</w:t>
            </w:r>
            <w:r>
              <w:rPr>
                <w:rFonts w:ascii="SimSun" w:hAnsi="SimSun" w:eastAsia="SimSun" w:cs="SimSun"/>
                <w:b w:val="0"/>
                <w:i w:val="0"/>
                <w:color w:val="000000"/>
                <w:kern w:val="0"/>
                <w:sz w:val="24"/>
                <w:szCs w:val="24"/>
                <w:lang w:val="en-US" w:eastAsia="zh-CN" w:bidi="ar"/>
                <w14:ligatures w14:val="none"/>
              </w:rPr>
              <w:t xml:space="preserve">朗诵流畅，语速、停顿和节奏恰当；能够通过语气、情感、神态和整体表现有效传达作品的内容和情感。 </w:t>
            </w:r>
          </w:p>
          <w:p w14:paraId="76E56B76">
            <w:pPr>
              <w:keepNext w:val="0"/>
              <w:keepLines w:val="0"/>
              <w:widowControl/>
              <w:suppressLineNumbers w:val="0"/>
              <w:jc w:val="left"/>
              <w:rPr>
                <w:b w:val="0"/>
                <w:i w:val="0"/>
                <w:color w:val="000000"/>
              </w:rPr>
            </w:pPr>
            <w:r>
              <w:rPr>
                <w:rFonts w:ascii="SimSun" w:hAnsi="SimSun" w:eastAsia="SimSun" w:cs="SimSun"/>
                <w:b w:val="0"/>
                <w:i w:val="0"/>
                <w:color w:val="000000"/>
                <w:kern w:val="0"/>
                <w:sz w:val="24"/>
                <w:szCs w:val="24"/>
                <w:lang w:val="en-US" w:eastAsia="zh-CN" w:bidi="ar"/>
                <w14:ligatures w14:val="none"/>
              </w:rPr>
              <w:t>*集体朗诵</w:t>
            </w:r>
            <w:r>
              <w:rPr>
                <w:rFonts w:hint="eastAsia" w:ascii="SimSun" w:hAnsi="SimSun" w:eastAsia="SimSun" w:cs="SimSun"/>
                <w:b w:val="0"/>
                <w:i w:val="0"/>
                <w:color w:val="000000"/>
                <w:kern w:val="0"/>
                <w:sz w:val="24"/>
                <w:szCs w:val="24"/>
                <w:lang w:val="en-US" w:eastAsia="zh-CN" w:bidi="ar"/>
                <w14:ligatures w14:val="none"/>
              </w:rPr>
              <w:t>：</w:t>
            </w:r>
            <w:r>
              <w:rPr>
                <w:rFonts w:ascii="SimSun" w:hAnsi="SimSun" w:eastAsia="SimSun" w:cs="SimSun"/>
                <w:b w:val="0"/>
                <w:i w:val="0"/>
                <w:color w:val="000000"/>
                <w:kern w:val="0"/>
                <w:sz w:val="24"/>
                <w:szCs w:val="24"/>
                <w:lang w:val="en-US" w:eastAsia="zh-CN" w:bidi="ar"/>
                <w14:ligatures w14:val="none"/>
              </w:rPr>
              <w:t>成员之间配合自然，包括节奏、衔接、角色或声部安排，以及整体呈现的协调性、完整性和表现力。</w:t>
            </w:r>
          </w:p>
        </w:tc>
      </w:tr>
      <w:tr w14:paraId="51700EF2">
        <w:trPr>
          <w:tblCellSpacing w:w="15" w:type="dxa"/>
        </w:trPr>
        <w:tc>
          <w:tcPr>
            <w:tcW w:w="0" w:type="auto"/>
            <w:tcBorders>
              <w:top w:val="single" w:color="B4C6E7" w:themeColor="accent1" w:themeTint="66" w:sz="6" w:space="0"/>
              <w:left w:val="single" w:color="4472C4" w:themeColor="accent1" w:sz="6" w:space="0"/>
              <w:bottom w:val="single" w:color="4472C4" w:themeColor="accent1" w:sz="6" w:space="0"/>
              <w:right w:val="single" w:color="B4C6E7" w:themeColor="accent1" w:themeTint="66" w:sz="6" w:space="0"/>
            </w:tcBorders>
            <w:shd w:val="clear" w:color="auto" w:fill="FFFFFF"/>
            <w:vAlign w:val="center"/>
          </w:tcPr>
          <w:p w14:paraId="2CCD47B5">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总分</w:t>
            </w:r>
          </w:p>
        </w:tc>
        <w:tc>
          <w:tcPr>
            <w:tcW w:w="0" w:type="auto"/>
            <w:tcBorders>
              <w:top w:val="single" w:color="B4C6E7" w:themeColor="accent1" w:themeTint="66" w:sz="6" w:space="0"/>
              <w:left w:val="single" w:color="B4C6E7" w:themeColor="accent1" w:themeTint="66" w:sz="6" w:space="0"/>
              <w:bottom w:val="single" w:color="4472C4" w:themeColor="accent1" w:sz="6" w:space="0"/>
              <w:right w:val="single" w:color="B4C6E7" w:themeColor="accent1" w:themeTint="66" w:sz="6" w:space="0"/>
            </w:tcBorders>
            <w:shd w:val="clear" w:color="auto" w:fill="FFFFFF"/>
            <w:vAlign w:val="center"/>
          </w:tcPr>
          <w:p w14:paraId="3D565BC9">
            <w:pPr>
              <w:keepNext w:val="0"/>
              <w:keepLines w:val="0"/>
              <w:widowControl/>
              <w:suppressLineNumbers w:val="0"/>
              <w:jc w:val="right"/>
              <w:rPr>
                <w:b w:val="0"/>
                <w:i w:val="0"/>
                <w:color w:val="000000"/>
              </w:rPr>
            </w:pPr>
            <w:r>
              <w:rPr>
                <w:rStyle w:val="7"/>
                <w:rFonts w:ascii="SimSun" w:hAnsi="SimSun" w:eastAsia="SimSun" w:cs="SimSun"/>
                <w:b w:val="0"/>
                <w:i w:val="0"/>
                <w:color w:val="000000"/>
                <w:kern w:val="0"/>
                <w:sz w:val="24"/>
                <w:szCs w:val="24"/>
                <w:lang w:val="en-US" w:eastAsia="zh-CN" w:bidi="ar"/>
                <w14:ligatures w14:val="none"/>
              </w:rPr>
              <w:t>50</w:t>
            </w:r>
          </w:p>
        </w:tc>
        <w:tc>
          <w:tcPr>
            <w:tcW w:w="0" w:type="auto"/>
            <w:tcBorders>
              <w:top w:val="single" w:color="B4C6E7" w:themeColor="accent1" w:themeTint="66" w:sz="6" w:space="0"/>
              <w:left w:val="single" w:color="B4C6E7" w:themeColor="accent1" w:themeTint="66" w:sz="6" w:space="0"/>
              <w:bottom w:val="single" w:color="4472C4" w:themeColor="accent1" w:sz="6" w:space="0"/>
              <w:right w:val="single" w:color="B4C6E7" w:themeColor="accent1" w:themeTint="66" w:sz="6" w:space="0"/>
            </w:tcBorders>
            <w:shd w:val="clear" w:color="auto" w:fill="FFFFFF"/>
            <w:vAlign w:val="center"/>
          </w:tcPr>
          <w:p w14:paraId="65CA1E5E">
            <w:pPr>
              <w:keepNext w:val="0"/>
              <w:keepLines w:val="0"/>
              <w:widowControl/>
              <w:suppressLineNumbers w:val="0"/>
              <w:jc w:val="right"/>
              <w:rPr>
                <w:b w:val="0"/>
                <w:i w:val="0"/>
                <w:color w:val="000000"/>
              </w:rPr>
            </w:pPr>
            <w:r>
              <w:rPr>
                <w:rStyle w:val="7"/>
                <w:rFonts w:ascii="SimSun" w:hAnsi="SimSun" w:eastAsia="SimSun" w:cs="SimSun"/>
                <w:b w:val="0"/>
                <w:i w:val="0"/>
                <w:color w:val="000000"/>
                <w:kern w:val="0"/>
                <w:sz w:val="24"/>
                <w:szCs w:val="24"/>
                <w:lang w:val="en-US" w:eastAsia="zh-CN" w:bidi="ar"/>
                <w14:ligatures w14:val="none"/>
              </w:rPr>
              <w:t>50</w:t>
            </w:r>
          </w:p>
        </w:tc>
        <w:tc>
          <w:tcPr>
            <w:tcW w:w="0" w:type="auto"/>
            <w:tcBorders>
              <w:top w:val="single" w:color="B4C6E7" w:themeColor="accent1" w:themeTint="66" w:sz="6" w:space="0"/>
              <w:left w:val="single" w:color="B4C6E7" w:themeColor="accent1" w:themeTint="66" w:sz="6" w:space="0"/>
              <w:bottom w:val="single" w:color="4472C4" w:themeColor="accent1" w:sz="6" w:space="0"/>
              <w:right w:val="single" w:color="4472C4" w:themeColor="accent1" w:sz="6" w:space="0"/>
            </w:tcBorders>
            <w:shd w:val="clear" w:color="auto" w:fill="FFFFFF"/>
            <w:vAlign w:val="center"/>
          </w:tcPr>
          <w:p w14:paraId="36F8A62E">
            <w:pPr>
              <w:rPr>
                <w:rFonts w:hint="eastAsia" w:ascii="SimSun"/>
                <w:b w:val="0"/>
                <w:i w:val="0"/>
                <w:color w:val="000000"/>
                <w:sz w:val="24"/>
                <w:szCs w:val="24"/>
              </w:rPr>
            </w:pPr>
          </w:p>
        </w:tc>
      </w:tr>
    </w:tbl>
    <w:p w14:paraId="0567ED2D">
      <w:pPr>
        <w:pStyle w:val="2"/>
        <w:keepNext w:val="0"/>
        <w:keepLines w:val="0"/>
        <w:widowControl/>
        <w:suppressLineNumbers w:val="0"/>
        <w:rPr>
          <w:rFonts w:hint="eastAsia" w:ascii="DengXian" w:hAnsi="DengXian" w:eastAsia="DengXian" w:cs="Times New Roman"/>
          <w:b w:val="0"/>
          <w:bCs w:val="0"/>
          <w:color w:val="000000"/>
          <w:kern w:val="0"/>
          <w:sz w:val="24"/>
          <w:szCs w:val="24"/>
          <w:lang w:val="en-US" w:eastAsia="zh-CN" w:bidi="ar-SA"/>
          <w14:ligatures w14:val="none"/>
        </w:rPr>
      </w:pPr>
      <w:r>
        <w:rPr>
          <w:rFonts w:hint="eastAsia" w:ascii="DengXian" w:hAnsi="DengXian" w:eastAsia="DengXian" w:cs="Times New Roman"/>
          <w:b w:val="0"/>
          <w:bCs w:val="0"/>
          <w:color w:val="000000"/>
          <w:kern w:val="0"/>
          <w:sz w:val="24"/>
          <w:szCs w:val="24"/>
          <w:lang w:val="en-US" w:eastAsia="zh-CN" w:bidi="ar-SA"/>
          <w14:ligatures w14:val="none"/>
        </w:rPr>
        <w:t>奖项</w:t>
      </w:r>
    </w:p>
    <w:p w14:paraId="75F53BB4">
      <w:pPr>
        <w:rPr>
          <w:rFonts w:ascii="Times New Roman" w:hAnsi="Times New Roman" w:eastAsia="Times New Roman" w:cs="Times New Roman"/>
        </w:rPr>
      </w:pPr>
      <w:r>
        <w:rPr>
          <w:rFonts w:hint="eastAsia" w:ascii="DengXian" w:hAnsi="DengXian" w:eastAsia="DengXian" w:cs="Times New Roman"/>
          <w:color w:val="000000"/>
        </w:rPr>
        <w:t xml:space="preserve">1. 参赛者均可获参加比赛的证书和纪念品。 </w:t>
      </w:r>
    </w:p>
    <w:p w14:paraId="1B8BAC9D">
      <w:pPr>
        <w:rPr>
          <w:rFonts w:hint="eastAsia" w:ascii="DengXian" w:hAnsi="DengXian" w:eastAsia="DengXian" w:cs="Times New Roman"/>
          <w:color w:val="000000"/>
        </w:rPr>
      </w:pPr>
      <w:r>
        <w:rPr>
          <w:rFonts w:hint="eastAsia" w:ascii="DengXian" w:hAnsi="DengXian" w:eastAsia="DengXian" w:cs="Times New Roman"/>
          <w:color w:val="000000"/>
        </w:rPr>
        <w:t xml:space="preserve">2. 参赛者或队伍将按朗诵表现获赠奖状，以示鼓励。 </w:t>
      </w:r>
    </w:p>
    <w:p w14:paraId="095DB962"/>
    <w:p w14:paraId="7E9578C6"/>
    <w:p w14:paraId="07A81E28"/>
    <w:p w14:paraId="6C24B02D"/>
    <w:p w14:paraId="095DC54E"/>
    <w:p w14:paraId="4A5FE38B"/>
    <w:p w14:paraId="7A26E703"/>
    <w:p w14:paraId="6ECEB5A1"/>
    <w:p w14:paraId="4613FD8E"/>
    <w:p w14:paraId="71960A83"/>
    <w:p w14:paraId="1E32B99E"/>
    <w:p w14:paraId="742FF21A"/>
    <w:p w14:paraId="71E5A6FA"/>
    <w:p w14:paraId="3870113F"/>
    <w:p w14:paraId="76F70EAF"/>
    <w:p w14:paraId="6AAB5AB5"/>
    <w:p w14:paraId="18F4761E"/>
    <w:p w14:paraId="0E7EF9DF"/>
    <w:p w14:paraId="779D7709"/>
    <w:p w14:paraId="55C1D217"/>
    <w:p w14:paraId="754A4F57"/>
    <w:p w14:paraId="1C0420A5"/>
    <w:p w14:paraId="641A553C"/>
    <w:p w14:paraId="6A71C8BC"/>
    <w:p w14:paraId="07626B8E"/>
    <w:p w14:paraId="43981224">
      <w:pPr>
        <w:rPr>
          <w:rFonts w:ascii="Times New Roman" w:hAnsi="Times New Roman" w:eastAsia="Times New Roman" w:cs="Times New Roman"/>
        </w:rPr>
      </w:pPr>
      <w:bookmarkStart w:id="0" w:name="_GoBack"/>
      <w:bookmarkEnd w:id="0"/>
      <w:r>
        <w:rPr>
          <w:rFonts w:ascii="Calibri-Bold" w:hAnsi="Calibri-Bold" w:eastAsia="Times New Roman" w:cs="Times New Roman"/>
          <w:b/>
          <w:bCs/>
          <w:color w:val="353740"/>
        </w:rPr>
        <w:t xml:space="preserve">Rules of Competition: </w:t>
      </w:r>
    </w:p>
    <w:p w14:paraId="4497F0D1">
      <w:pPr>
        <w:rPr>
          <w:rFonts w:ascii="Times New Roman" w:hAnsi="Times New Roman" w:eastAsia="Times New Roman" w:cs="Times New Roman"/>
        </w:rPr>
      </w:pPr>
      <w:r>
        <w:rPr>
          <w:rFonts w:ascii="Calibri" w:hAnsi="Calibri" w:eastAsia="Times New Roman" w:cs="Calibri"/>
          <w:color w:val="353740"/>
        </w:rPr>
        <w:t>1. Participants must be born on or before 9</w:t>
      </w:r>
      <w:r>
        <w:rPr>
          <w:rFonts w:ascii="Calibri" w:hAnsi="Calibri" w:eastAsia="Times New Roman" w:cs="Calibri"/>
          <w:color w:val="353740"/>
          <w:sz w:val="16"/>
          <w:szCs w:val="16"/>
        </w:rPr>
        <w:t xml:space="preserve">th </w:t>
      </w:r>
      <w:r>
        <w:rPr>
          <w:rFonts w:ascii="Calibri" w:hAnsi="Calibri" w:eastAsia="Times New Roman" w:cs="Calibri"/>
          <w:color w:val="353740"/>
        </w:rPr>
        <w:t xml:space="preserve">June 2018 and can only perform once on the day. Schools are welcome to recommend students and encourage sudents to participate in groups. </w:t>
      </w:r>
    </w:p>
    <w:p w14:paraId="01C7C98A">
      <w:pPr>
        <w:rPr>
          <w:rFonts w:ascii="Calibri" w:hAnsi="Calibri" w:eastAsia="Times New Roman" w:cs="Calibri"/>
          <w:color w:val="353740"/>
        </w:rPr>
      </w:pPr>
    </w:p>
    <w:p w14:paraId="1548944C">
      <w:pPr>
        <w:rPr>
          <w:rFonts w:ascii="Times New Roman" w:hAnsi="Times New Roman" w:eastAsia="Times New Roman" w:cs="Times New Roman"/>
        </w:rPr>
      </w:pPr>
      <w:r>
        <w:rPr>
          <w:rFonts w:ascii="Calibri" w:hAnsi="Calibri" w:eastAsia="Times New Roman" w:cs="Calibri"/>
          <w:color w:val="353740"/>
        </w:rPr>
        <w:t xml:space="preserve">2. Participants are divided into four major groups according to their mother tongue: B, C, M, P. When registering, participants should accurately indicate their mother tongue and age: </w:t>
      </w:r>
    </w:p>
    <w:p w14:paraId="0CFC9136">
      <w:pPr>
        <w:rPr>
          <w:rFonts w:ascii="Times New Roman" w:hAnsi="Times New Roman" w:eastAsia="Times New Roman" w:cs="Times New Roman"/>
        </w:rPr>
      </w:pPr>
      <w:r>
        <w:rPr>
          <w:rFonts w:ascii="Calibri-Bold" w:hAnsi="Calibri-Bold" w:eastAsia="Times New Roman" w:cs="Times New Roman"/>
          <w:b/>
          <w:bCs/>
          <w:color w:val="353740"/>
        </w:rPr>
        <w:t>B</w:t>
      </w:r>
      <w:r>
        <w:rPr>
          <w:rFonts w:ascii="Calibri" w:hAnsi="Calibri" w:eastAsia="Times New Roman" w:cs="Calibri"/>
          <w:color w:val="353740"/>
        </w:rPr>
        <w:t xml:space="preserve">. Non-Chinese ethnic group (both parents or foster parents are not Chinese): </w:t>
      </w:r>
    </w:p>
    <w:p w14:paraId="2B1CEA30">
      <w:pPr>
        <w:rPr>
          <w:rFonts w:ascii="Times New Roman" w:hAnsi="Times New Roman" w:eastAsia="Times New Roman" w:cs="Times New Roman"/>
        </w:rPr>
      </w:pPr>
      <w:r>
        <w:rPr>
          <w:rFonts w:ascii="Calibri" w:hAnsi="Calibri" w:eastAsia="Times New Roman" w:cs="Calibri"/>
          <w:color w:val="353740"/>
        </w:rPr>
        <w:t xml:space="preserve">(B1) 5-11 years old </w:t>
      </w:r>
    </w:p>
    <w:p w14:paraId="134CFF50">
      <w:pPr>
        <w:rPr>
          <w:rFonts w:ascii="Times New Roman" w:hAnsi="Times New Roman" w:eastAsia="Times New Roman" w:cs="Times New Roman"/>
        </w:rPr>
      </w:pPr>
      <w:r>
        <w:rPr>
          <w:rFonts w:ascii="Calibri" w:hAnsi="Calibri" w:eastAsia="Times New Roman" w:cs="Calibri"/>
          <w:color w:val="353740"/>
        </w:rPr>
        <w:t xml:space="preserve">(B2) 12-17 years old </w:t>
      </w:r>
    </w:p>
    <w:p w14:paraId="3B16E8EE">
      <w:pPr>
        <w:rPr>
          <w:rFonts w:ascii="Times New Roman" w:hAnsi="Times New Roman" w:eastAsia="Times New Roman" w:cs="Times New Roman"/>
        </w:rPr>
      </w:pPr>
      <w:r>
        <w:rPr>
          <w:rFonts w:ascii="Calibri-Bold" w:hAnsi="Calibri-Bold" w:eastAsia="Times New Roman" w:cs="Times New Roman"/>
          <w:b/>
          <w:bCs/>
          <w:color w:val="353740"/>
        </w:rPr>
        <w:t>C</w:t>
      </w:r>
      <w:r>
        <w:rPr>
          <w:rFonts w:ascii="Calibri" w:hAnsi="Calibri" w:eastAsia="Times New Roman" w:cs="Calibri"/>
          <w:color w:val="353740"/>
        </w:rPr>
        <w:t xml:space="preserve">. Mandarin or other dialects group: </w:t>
      </w:r>
    </w:p>
    <w:p w14:paraId="3D3EF4DB">
      <w:pPr>
        <w:rPr>
          <w:rFonts w:ascii="Times New Roman" w:hAnsi="Times New Roman" w:eastAsia="Times New Roman" w:cs="Times New Roman"/>
        </w:rPr>
      </w:pPr>
      <w:r>
        <w:rPr>
          <w:rFonts w:ascii="Calibri" w:hAnsi="Calibri" w:eastAsia="Times New Roman" w:cs="Calibri"/>
          <w:color w:val="353740"/>
        </w:rPr>
        <w:t xml:space="preserve">(C1) 5-11 years old </w:t>
      </w:r>
    </w:p>
    <w:p w14:paraId="07A1D4FC">
      <w:pPr>
        <w:rPr>
          <w:rFonts w:ascii="Times New Roman" w:hAnsi="Times New Roman" w:eastAsia="Times New Roman" w:cs="Times New Roman"/>
        </w:rPr>
      </w:pPr>
      <w:r>
        <w:rPr>
          <w:rFonts w:ascii="Calibri" w:hAnsi="Calibri" w:eastAsia="Times New Roman" w:cs="Calibri"/>
          <w:color w:val="353740"/>
        </w:rPr>
        <w:t xml:space="preserve">(C2) 12-17 years old </w:t>
      </w:r>
    </w:p>
    <w:p w14:paraId="4B8B2DFF">
      <w:pPr>
        <w:rPr>
          <w:rFonts w:ascii="Times New Roman" w:hAnsi="Times New Roman" w:eastAsia="Times New Roman" w:cs="Times New Roman"/>
        </w:rPr>
      </w:pPr>
      <w:r>
        <w:rPr>
          <w:rFonts w:ascii="Calibri-Bold" w:hAnsi="Calibri-Bold" w:eastAsia="Times New Roman" w:cs="Times New Roman"/>
          <w:b/>
          <w:bCs/>
          <w:color w:val="353740"/>
        </w:rPr>
        <w:t xml:space="preserve">M. </w:t>
      </w:r>
      <w:r>
        <w:rPr>
          <w:rFonts w:ascii="Calibri" w:hAnsi="Calibri" w:eastAsia="Times New Roman" w:cs="Calibri"/>
          <w:color w:val="353740"/>
        </w:rPr>
        <w:t xml:space="preserve">One of parents or foster parents is not Chinese: </w:t>
      </w:r>
    </w:p>
    <w:p w14:paraId="6AA6F0AE">
      <w:pPr>
        <w:rPr>
          <w:rFonts w:ascii="Times New Roman" w:hAnsi="Times New Roman" w:eastAsia="Times New Roman" w:cs="Times New Roman"/>
        </w:rPr>
      </w:pPr>
      <w:r>
        <w:rPr>
          <w:rFonts w:ascii="Calibri" w:hAnsi="Calibri" w:eastAsia="Times New Roman" w:cs="Calibri"/>
          <w:color w:val="353740"/>
        </w:rPr>
        <w:t xml:space="preserve">(M1) 5-11 years old </w:t>
      </w:r>
    </w:p>
    <w:p w14:paraId="38412F3B">
      <w:pPr>
        <w:rPr>
          <w:rFonts w:ascii="Times New Roman" w:hAnsi="Times New Roman" w:eastAsia="Times New Roman" w:cs="Times New Roman"/>
        </w:rPr>
      </w:pPr>
      <w:r>
        <w:rPr>
          <w:rFonts w:ascii="Calibri" w:hAnsi="Calibri" w:eastAsia="Times New Roman" w:cs="Calibri"/>
          <w:color w:val="353740"/>
        </w:rPr>
        <w:t xml:space="preserve">(M2) 12-17 years old </w:t>
      </w:r>
    </w:p>
    <w:p w14:paraId="574500D2">
      <w:pPr>
        <w:rPr>
          <w:rFonts w:ascii="Times New Roman" w:hAnsi="Times New Roman" w:eastAsia="Times New Roman" w:cs="Times New Roman"/>
        </w:rPr>
      </w:pPr>
      <w:r>
        <w:rPr>
          <w:rFonts w:ascii="Calibri-Bold" w:hAnsi="Calibri-Bold" w:eastAsia="Times New Roman" w:cs="Times New Roman"/>
          <w:b/>
          <w:bCs/>
          <w:color w:val="353740"/>
        </w:rPr>
        <w:t xml:space="preserve">P. </w:t>
      </w:r>
      <w:r>
        <w:rPr>
          <w:rFonts w:ascii="Calibri" w:hAnsi="Calibri" w:eastAsia="Times New Roman" w:cs="Calibri"/>
          <w:color w:val="353740"/>
        </w:rPr>
        <w:t xml:space="preserve">Cantonese Group </w:t>
      </w:r>
    </w:p>
    <w:p w14:paraId="7BB44260">
      <w:pPr>
        <w:rPr>
          <w:rFonts w:ascii="Times New Roman" w:hAnsi="Times New Roman" w:eastAsia="Times New Roman" w:cs="Times New Roman"/>
        </w:rPr>
      </w:pPr>
      <w:r>
        <w:rPr>
          <w:rFonts w:ascii="Calibri" w:hAnsi="Calibri" w:eastAsia="Times New Roman" w:cs="Calibri"/>
          <w:color w:val="353740"/>
        </w:rPr>
        <w:t xml:space="preserve">(P1) 5-8 years old </w:t>
      </w:r>
    </w:p>
    <w:p w14:paraId="656ADC59">
      <w:pPr>
        <w:rPr>
          <w:rFonts w:ascii="Times New Roman" w:hAnsi="Times New Roman" w:eastAsia="Times New Roman" w:cs="Times New Roman"/>
        </w:rPr>
      </w:pPr>
      <w:r>
        <w:rPr>
          <w:rFonts w:ascii="Calibri" w:hAnsi="Calibri" w:eastAsia="Times New Roman" w:cs="Calibri"/>
          <w:color w:val="353740"/>
        </w:rPr>
        <w:t xml:space="preserve">(P2) 9-11 years old </w:t>
      </w:r>
    </w:p>
    <w:p w14:paraId="3A0E854E">
      <w:pPr>
        <w:rPr>
          <w:rFonts w:ascii="Times New Roman" w:hAnsi="Times New Roman" w:eastAsia="Times New Roman" w:cs="Times New Roman"/>
        </w:rPr>
      </w:pPr>
      <w:r>
        <w:rPr>
          <w:rFonts w:ascii="Calibri" w:hAnsi="Calibri" w:eastAsia="Times New Roman" w:cs="Calibri"/>
          <w:color w:val="353740"/>
        </w:rPr>
        <w:t xml:space="preserve">(P3) 12-17 years old </w:t>
      </w:r>
    </w:p>
    <w:p w14:paraId="4E830388">
      <w:pPr>
        <w:rPr>
          <w:rFonts w:ascii="Calibri" w:hAnsi="Calibri" w:eastAsia="Times New Roman" w:cs="Calibri"/>
          <w:color w:val="353740"/>
        </w:rPr>
      </w:pPr>
    </w:p>
    <w:p w14:paraId="63039379">
      <w:pPr>
        <w:rPr>
          <w:rFonts w:ascii="Times New Roman" w:hAnsi="Times New Roman" w:eastAsia="Times New Roman" w:cs="Times New Roman"/>
        </w:rPr>
      </w:pPr>
      <w:r>
        <w:rPr>
          <w:rFonts w:ascii="Calibri" w:hAnsi="Calibri" w:eastAsia="Times New Roman" w:cs="Calibri"/>
          <w:color w:val="353740"/>
        </w:rPr>
        <w:t xml:space="preserve">3. The content, level, and length of the topics should be appropriate to the student's level and understanding. </w:t>
      </w:r>
    </w:p>
    <w:p w14:paraId="41635DE8">
      <w:pPr>
        <w:rPr>
          <w:rFonts w:ascii="Calibri" w:hAnsi="Calibri" w:eastAsia="Times New Roman" w:cs="Calibri"/>
          <w:color w:val="353740"/>
        </w:rPr>
      </w:pPr>
    </w:p>
    <w:p w14:paraId="45A9D504">
      <w:pPr>
        <w:rPr>
          <w:rFonts w:ascii="Times New Roman" w:hAnsi="Times New Roman" w:eastAsia="Times New Roman" w:cs="Times New Roman"/>
        </w:rPr>
      </w:pPr>
      <w:r>
        <w:rPr>
          <w:rFonts w:ascii="Calibri" w:hAnsi="Calibri" w:eastAsia="Times New Roman" w:cs="Calibri"/>
          <w:color w:val="353740"/>
        </w:rPr>
        <w:t xml:space="preserve">4. The style of performance is mainly Mandarin recitation. In addition to reading aloud, it can also be accompanied by other forms of performing such as singing, drama, and dancing. The judges will evaluate performance according to the following criteria. </w:t>
      </w:r>
    </w:p>
    <w:p w14:paraId="1E8CA002">
      <w:pPr>
        <w:rPr>
          <w:rFonts w:ascii="Times New Roman" w:hAnsi="Times New Roman" w:eastAsia="Times New Roman" w:cs="Times New Roman"/>
        </w:rPr>
      </w:pPr>
      <w:r>
        <w:rPr>
          <w:rFonts w:ascii="Calibri-Bold" w:hAnsi="Calibri-Bold" w:eastAsia="Times New Roman" w:cs="Times New Roman"/>
          <w:b/>
          <w:bCs/>
          <w:color w:val="353740"/>
        </w:rPr>
        <w:t xml:space="preserve">Criteria: </w:t>
      </w:r>
    </w:p>
    <w:p w14:paraId="3B88C3B7">
      <w:pPr>
        <w:numPr>
          <w:ilvl w:val="0"/>
          <w:numId w:val="2"/>
        </w:numPr>
        <w:rPr>
          <w:rFonts w:ascii="Calibri" w:hAnsi="Calibri" w:eastAsia="Times New Roman" w:cs="Calibri"/>
          <w:color w:val="353740"/>
        </w:rPr>
      </w:pPr>
      <w:r>
        <w:rPr>
          <w:rFonts w:ascii="Calibri" w:hAnsi="Calibri" w:eastAsia="Times New Roman" w:cs="Calibri"/>
          <w:color w:val="353740"/>
        </w:rPr>
        <w:t xml:space="preserve">Individual Recitation: No longer than 2 minutes, selected based on the content (5 points), pronunciation (20 points), intonation (10 points), </w:t>
      </w:r>
      <w:r>
        <w:rPr>
          <w:rFonts w:hint="eastAsia" w:ascii="Calibri" w:hAnsi="Calibri" w:eastAsia="SimSun" w:cs="Calibri"/>
          <w:color w:val="353740"/>
          <w:lang w:val="en-US" w:eastAsia="zh-CN"/>
        </w:rPr>
        <w:t>expression and delivery</w:t>
      </w:r>
      <w:r>
        <w:rPr>
          <w:rFonts w:ascii="Calibri" w:hAnsi="Calibri" w:eastAsia="Times New Roman" w:cs="Calibri"/>
          <w:color w:val="353740"/>
        </w:rPr>
        <w:t xml:space="preserve"> (5 points), total </w:t>
      </w:r>
      <w:r>
        <w:rPr>
          <w:rFonts w:hint="eastAsia" w:ascii="Calibri" w:hAnsi="Calibri" w:eastAsia="SimSun" w:cs="Calibri"/>
          <w:color w:val="353740"/>
          <w:lang w:val="en-US" w:eastAsia="zh-CN"/>
        </w:rPr>
        <w:t>5</w:t>
      </w:r>
      <w:r>
        <w:rPr>
          <w:rFonts w:ascii="Calibri" w:hAnsi="Calibri" w:eastAsia="Times New Roman" w:cs="Calibri"/>
          <w:color w:val="353740"/>
        </w:rPr>
        <w:t xml:space="preserve">0 points. </w:t>
      </w:r>
    </w:p>
    <w:p w14:paraId="2BCDC154">
      <w:pPr>
        <w:numPr>
          <w:ilvl w:val="0"/>
          <w:numId w:val="2"/>
        </w:numPr>
        <w:rPr>
          <w:rFonts w:ascii="Calibri" w:hAnsi="Calibri" w:eastAsia="Times New Roman" w:cs="Calibri"/>
          <w:color w:val="353740"/>
        </w:rPr>
      </w:pPr>
      <w:r>
        <w:rPr>
          <w:rFonts w:ascii="Calibri" w:hAnsi="Calibri" w:eastAsia="Times New Roman" w:cs="Calibri"/>
          <w:color w:val="353740"/>
        </w:rPr>
        <w:t xml:space="preserve"> Group Recitation: No longer than 4 minutes, selected based on the content (5 points), pronunciation (20 points), intonation (10 points), form of performance (15 points), total 50 points. </w:t>
      </w:r>
    </w:p>
    <w:p w14:paraId="48850E79">
      <w:pPr>
        <w:numPr>
          <w:ilvl w:val="0"/>
          <w:numId w:val="0"/>
        </w:numPr>
        <w:tabs>
          <w:tab w:val="left" w:pos="312"/>
        </w:tabs>
        <w:rPr>
          <w:rFonts w:ascii="Calibri" w:hAnsi="Calibri" w:eastAsia="Times New Roman" w:cs="Calibri"/>
          <w:color w:val="353740"/>
        </w:rPr>
      </w:pPr>
    </w:p>
    <w:p w14:paraId="4CE2EC87">
      <w:pPr>
        <w:numPr>
          <w:ilvl w:val="0"/>
          <w:numId w:val="0"/>
        </w:numPr>
        <w:tabs>
          <w:tab w:val="left" w:pos="312"/>
        </w:tabs>
        <w:rPr>
          <w:rFonts w:hint="eastAsia" w:ascii="Calibri" w:hAnsi="Calibri" w:eastAsia="SimSun" w:cs="Calibri"/>
          <w:color w:val="353740"/>
          <w:lang w:eastAsia="zh-CN"/>
        </w:rPr>
      </w:pPr>
    </w:p>
    <w:p w14:paraId="62824839">
      <w:pPr>
        <w:numPr>
          <w:ilvl w:val="0"/>
          <w:numId w:val="0"/>
        </w:numPr>
        <w:tabs>
          <w:tab w:val="left" w:pos="312"/>
        </w:tabs>
        <w:rPr>
          <w:rFonts w:hint="eastAsia" w:ascii="Calibri" w:hAnsi="Calibri" w:eastAsia="SimSun" w:cs="Calibri"/>
          <w:color w:val="353740"/>
          <w:lang w:eastAsia="zh-CN"/>
        </w:rPr>
      </w:pPr>
    </w:p>
    <w:p w14:paraId="49C54C3F">
      <w:pPr>
        <w:numPr>
          <w:ilvl w:val="0"/>
          <w:numId w:val="0"/>
        </w:numPr>
        <w:tabs>
          <w:tab w:val="left" w:pos="312"/>
        </w:tabs>
        <w:rPr>
          <w:rFonts w:hint="eastAsia" w:ascii="Calibri" w:hAnsi="Calibri" w:eastAsia="SimSun" w:cs="Calibri"/>
          <w:color w:val="353740"/>
          <w:lang w:eastAsia="zh-CN"/>
        </w:rPr>
      </w:pPr>
    </w:p>
    <w:p w14:paraId="5818CBD3">
      <w:pPr>
        <w:numPr>
          <w:ilvl w:val="0"/>
          <w:numId w:val="0"/>
        </w:numPr>
        <w:tabs>
          <w:tab w:val="left" w:pos="312"/>
        </w:tabs>
        <w:rPr>
          <w:rFonts w:ascii="Calibri" w:hAnsi="Calibri" w:eastAsia="Times New Roman" w:cs="Calibri"/>
          <w:color w:val="353740"/>
        </w:rPr>
      </w:pPr>
    </w:p>
    <w:tbl>
      <w:tblPr>
        <w:tblStyle w:val="4"/>
        <w:tblpPr w:leftFromText="180" w:rightFromText="180" w:vertAnchor="text" w:horzAnchor="page" w:tblpX="1439" w:tblpY="745"/>
        <w:tblOverlap w:val="never"/>
        <w:tblW w:w="0" w:type="auto"/>
        <w:tblCellSpacing w:w="15"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29"/>
        <w:gridCol w:w="1177"/>
        <w:gridCol w:w="1133"/>
        <w:gridCol w:w="4892"/>
      </w:tblGrid>
      <w:tr w14:paraId="4A1E2D71">
        <w:trPr>
          <w:tblHeader/>
          <w:tblCellSpacing w:w="15" w:type="dxa"/>
        </w:trPr>
        <w:tc>
          <w:tcPr>
            <w:tcW w:w="0" w:type="auto"/>
            <w:tcBorders>
              <w:top w:val="single" w:color="4472C4" w:themeColor="accent1" w:sz="6" w:space="0"/>
              <w:left w:val="single" w:color="4472C4" w:themeColor="accent1" w:sz="6" w:space="0"/>
              <w:bottom w:val="single" w:color="4472C4" w:themeColor="accent1" w:sz="6" w:space="0"/>
              <w:right w:val="single" w:color="B4C6E7" w:themeColor="accent1" w:themeTint="66" w:sz="6" w:space="0"/>
            </w:tcBorders>
            <w:shd w:val="clear" w:color="auto" w:fill="4472C4" w:themeFill="accent1"/>
            <w:vAlign w:val="center"/>
          </w:tcPr>
          <w:p w14:paraId="1ED7DC1C">
            <w:pPr>
              <w:keepNext w:val="0"/>
              <w:keepLines w:val="0"/>
              <w:widowControl/>
              <w:suppressLineNumbers w:val="0"/>
              <w:jc w:val="center"/>
              <w:rPr>
                <w:b/>
                <w:bCs/>
                <w:i w:val="0"/>
                <w:color w:val="FFFFFF"/>
              </w:rPr>
            </w:pPr>
            <w:r>
              <w:rPr>
                <w:rFonts w:ascii="SimSun" w:hAnsi="SimSun" w:eastAsia="SimSun" w:cs="SimSun"/>
                <w:b/>
                <w:bCs/>
                <w:i w:val="0"/>
                <w:color w:val="FFFFFF"/>
                <w:kern w:val="0"/>
                <w:sz w:val="24"/>
                <w:szCs w:val="24"/>
                <w:lang w:val="en-US" w:eastAsia="zh-CN" w:bidi="ar"/>
                <w14:ligatures w14:val="none"/>
              </w:rPr>
              <w:t>Criterion</w:t>
            </w:r>
          </w:p>
        </w:tc>
        <w:tc>
          <w:tcPr>
            <w:tcW w:w="0" w:type="auto"/>
            <w:tcBorders>
              <w:top w:val="single" w:color="4472C4" w:themeColor="accent1" w:sz="6" w:space="0"/>
              <w:left w:val="single" w:color="B4C6E7" w:themeColor="accent1" w:themeTint="66" w:sz="6" w:space="0"/>
              <w:bottom w:val="single" w:color="4472C4" w:themeColor="accent1" w:sz="6" w:space="0"/>
              <w:right w:val="single" w:color="B4C6E7" w:themeColor="accent1" w:themeTint="66" w:sz="6" w:space="0"/>
            </w:tcBorders>
            <w:shd w:val="clear" w:color="auto" w:fill="4472C4" w:themeFill="accent1"/>
            <w:vAlign w:val="center"/>
          </w:tcPr>
          <w:p w14:paraId="250984C1">
            <w:pPr>
              <w:keepNext w:val="0"/>
              <w:keepLines w:val="0"/>
              <w:widowControl/>
              <w:suppressLineNumbers w:val="0"/>
              <w:jc w:val="center"/>
              <w:rPr>
                <w:b/>
                <w:bCs/>
                <w:i w:val="0"/>
                <w:color w:val="FFFFFF"/>
              </w:rPr>
            </w:pPr>
            <w:r>
              <w:rPr>
                <w:rFonts w:ascii="SimSun" w:hAnsi="SimSun" w:eastAsia="SimSun" w:cs="SimSun"/>
                <w:b/>
                <w:bCs/>
                <w:i w:val="0"/>
                <w:color w:val="FFFFFF"/>
                <w:kern w:val="0"/>
                <w:sz w:val="24"/>
                <w:szCs w:val="24"/>
                <w:lang w:val="en-US" w:eastAsia="zh-CN" w:bidi="ar"/>
                <w14:ligatures w14:val="none"/>
              </w:rPr>
              <w:t>Individual Recitation</w:t>
            </w:r>
          </w:p>
        </w:tc>
        <w:tc>
          <w:tcPr>
            <w:tcW w:w="0" w:type="auto"/>
            <w:tcBorders>
              <w:top w:val="single" w:color="4472C4" w:themeColor="accent1" w:sz="6" w:space="0"/>
              <w:left w:val="single" w:color="B4C6E7" w:themeColor="accent1" w:themeTint="66" w:sz="6" w:space="0"/>
              <w:bottom w:val="single" w:color="4472C4" w:themeColor="accent1" w:sz="6" w:space="0"/>
              <w:right w:val="single" w:color="B4C6E7" w:themeColor="accent1" w:themeTint="66" w:sz="6" w:space="0"/>
            </w:tcBorders>
            <w:shd w:val="clear" w:color="auto" w:fill="4472C4" w:themeFill="accent1"/>
            <w:vAlign w:val="center"/>
          </w:tcPr>
          <w:p w14:paraId="11103E96">
            <w:pPr>
              <w:keepNext w:val="0"/>
              <w:keepLines w:val="0"/>
              <w:widowControl/>
              <w:suppressLineNumbers w:val="0"/>
              <w:jc w:val="center"/>
              <w:rPr>
                <w:b/>
                <w:bCs/>
                <w:i w:val="0"/>
                <w:color w:val="FFFFFF"/>
              </w:rPr>
            </w:pPr>
            <w:r>
              <w:rPr>
                <w:rFonts w:ascii="SimSun" w:hAnsi="SimSun" w:eastAsia="SimSun" w:cs="SimSun"/>
                <w:b/>
                <w:bCs/>
                <w:i w:val="0"/>
                <w:color w:val="FFFFFF"/>
                <w:kern w:val="0"/>
                <w:sz w:val="24"/>
                <w:szCs w:val="24"/>
                <w:lang w:val="en-US" w:eastAsia="zh-CN" w:bidi="ar"/>
                <w14:ligatures w14:val="none"/>
              </w:rPr>
              <w:t>Group Recitation</w:t>
            </w:r>
          </w:p>
        </w:tc>
        <w:tc>
          <w:tcPr>
            <w:tcW w:w="0" w:type="auto"/>
            <w:tcBorders>
              <w:top w:val="single" w:color="4472C4" w:themeColor="accent1" w:sz="6" w:space="0"/>
              <w:left w:val="single" w:color="B4C6E7" w:themeColor="accent1" w:themeTint="66" w:sz="6" w:space="0"/>
              <w:bottom w:val="single" w:color="4472C4" w:themeColor="accent1" w:sz="6" w:space="0"/>
              <w:right w:val="single" w:color="4472C4" w:themeColor="accent1" w:sz="6" w:space="0"/>
            </w:tcBorders>
            <w:shd w:val="clear" w:color="auto" w:fill="4472C4" w:themeFill="accent1"/>
            <w:vAlign w:val="center"/>
          </w:tcPr>
          <w:p w14:paraId="08D04D99">
            <w:pPr>
              <w:keepNext w:val="0"/>
              <w:keepLines w:val="0"/>
              <w:widowControl/>
              <w:suppressLineNumbers w:val="0"/>
              <w:jc w:val="center"/>
              <w:rPr>
                <w:b/>
                <w:bCs/>
                <w:i w:val="0"/>
                <w:color w:val="FFFFFF"/>
              </w:rPr>
            </w:pPr>
            <w:r>
              <w:rPr>
                <w:rFonts w:ascii="SimSun" w:hAnsi="SimSun" w:eastAsia="SimSun" w:cs="SimSun"/>
                <w:b/>
                <w:bCs/>
                <w:i w:val="0"/>
                <w:color w:val="FFFFFF"/>
                <w:kern w:val="0"/>
                <w:sz w:val="24"/>
                <w:szCs w:val="24"/>
                <w:lang w:val="en-US" w:eastAsia="zh-CN" w:bidi="ar"/>
                <w14:ligatures w14:val="none"/>
              </w:rPr>
              <w:t>Description</w:t>
            </w:r>
          </w:p>
        </w:tc>
      </w:tr>
      <w:tr w14:paraId="23046D98">
        <w:trPr>
          <w:tblCellSpacing w:w="15" w:type="dxa"/>
        </w:trPr>
        <w:tc>
          <w:tcPr>
            <w:tcW w:w="0" w:type="auto"/>
            <w:tcBorders>
              <w:top w:val="single" w:color="4472C4" w:themeColor="accent1" w:sz="6" w:space="0"/>
              <w:left w:val="single" w:color="4472C4" w:themeColor="accent1" w:sz="6" w:space="0"/>
              <w:bottom w:val="single" w:color="B4C6E7" w:themeColor="accent1" w:themeTint="66" w:sz="6" w:space="0"/>
              <w:right w:val="single" w:color="B4C6E7" w:themeColor="accent1" w:themeTint="66" w:sz="6" w:space="0"/>
            </w:tcBorders>
            <w:shd w:val="clear" w:color="auto" w:fill="FFFFFF"/>
            <w:vAlign w:val="center"/>
          </w:tcPr>
          <w:p w14:paraId="35D574B1">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Content</w:t>
            </w:r>
          </w:p>
        </w:tc>
        <w:tc>
          <w:tcPr>
            <w:tcW w:w="0" w:type="auto"/>
            <w:tcBorders>
              <w:top w:val="single" w:color="4472C4" w:themeColor="accent1"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4F1F5B9D">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5</w:t>
            </w:r>
          </w:p>
        </w:tc>
        <w:tc>
          <w:tcPr>
            <w:tcW w:w="0" w:type="auto"/>
            <w:tcBorders>
              <w:top w:val="single" w:color="4472C4" w:themeColor="accent1"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32A6EE2A">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5</w:t>
            </w:r>
          </w:p>
        </w:tc>
        <w:tc>
          <w:tcPr>
            <w:tcW w:w="0" w:type="auto"/>
            <w:tcBorders>
              <w:top w:val="single" w:color="4472C4" w:themeColor="accent1" w:sz="6" w:space="0"/>
              <w:left w:val="single" w:color="B4C6E7" w:themeColor="accent1" w:themeTint="66" w:sz="6" w:space="0"/>
              <w:bottom w:val="single" w:color="B4C6E7" w:themeColor="accent1" w:themeTint="66" w:sz="6" w:space="0"/>
              <w:right w:val="single" w:color="4472C4" w:themeColor="accent1" w:sz="6" w:space="0"/>
            </w:tcBorders>
            <w:shd w:val="clear" w:color="auto" w:fill="FFFFFF"/>
            <w:vAlign w:val="center"/>
          </w:tcPr>
          <w:p w14:paraId="54E918B1">
            <w:pPr>
              <w:keepNext w:val="0"/>
              <w:keepLines w:val="0"/>
              <w:widowControl/>
              <w:suppressLineNumbers w:val="0"/>
              <w:jc w:val="left"/>
              <w:rPr>
                <w:b w:val="0"/>
                <w:i w:val="0"/>
                <w:color w:val="000000"/>
              </w:rPr>
            </w:pPr>
            <w:r>
              <w:rPr>
                <w:rFonts w:ascii="SimSun" w:hAnsi="SimSun" w:eastAsia="SimSun" w:cs="SimSun"/>
                <w:b w:val="0"/>
                <w:i w:val="0"/>
                <w:color w:val="000000"/>
                <w:kern w:val="0"/>
                <w:sz w:val="24"/>
                <w:szCs w:val="24"/>
                <w:lang w:val="en-US" w:eastAsia="zh-CN" w:bidi="ar"/>
                <w14:ligatures w14:val="none"/>
              </w:rPr>
              <w:t>The selected piece should be appropriate to the participant(s)’ age, Mandarin level and understanding, and suitable for the relevant form of recitation.</w:t>
            </w:r>
          </w:p>
        </w:tc>
      </w:tr>
      <w:tr w14:paraId="613C78F4">
        <w:trPr>
          <w:tblCellSpacing w:w="15" w:type="dxa"/>
        </w:trPr>
        <w:tc>
          <w:tcPr>
            <w:tcW w:w="0" w:type="auto"/>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4120D2B1">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Pronunciation</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476425FD">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20</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3F167EEC">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20</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ECF1F9" w:themeFill="accent1" w:themeFillTint="19"/>
            <w:vAlign w:val="center"/>
          </w:tcPr>
          <w:p w14:paraId="1D7498B0">
            <w:pPr>
              <w:keepNext w:val="0"/>
              <w:keepLines w:val="0"/>
              <w:widowControl/>
              <w:suppressLineNumbers w:val="0"/>
              <w:jc w:val="left"/>
              <w:rPr>
                <w:b w:val="0"/>
                <w:i w:val="0"/>
                <w:color w:val="000000"/>
              </w:rPr>
            </w:pPr>
            <w:r>
              <w:rPr>
                <w:rFonts w:ascii="SimSun" w:hAnsi="SimSun" w:eastAsia="SimSun" w:cs="SimSun"/>
                <w:b w:val="0"/>
                <w:i w:val="0"/>
                <w:color w:val="000000"/>
                <w:kern w:val="0"/>
                <w:sz w:val="24"/>
                <w:szCs w:val="24"/>
                <w:lang w:val="en-US" w:eastAsia="zh-CN" w:bidi="ar"/>
                <w14:ligatures w14:val="none"/>
              </w:rPr>
              <w:t>Accuracy and clarity of Mandarin pronunciation, including initials and finals, as well as the overall intelligibility of speech.</w:t>
            </w:r>
          </w:p>
        </w:tc>
      </w:tr>
      <w:tr w14:paraId="5F85B665">
        <w:trPr>
          <w:tblCellSpacing w:w="15" w:type="dxa"/>
        </w:trPr>
        <w:tc>
          <w:tcPr>
            <w:tcW w:w="0" w:type="auto"/>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FFFFFF"/>
            <w:vAlign w:val="center"/>
          </w:tcPr>
          <w:p w14:paraId="79F059D0">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Tones</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24E345A6">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10</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4DE82283">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10</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FFFFFF"/>
            <w:vAlign w:val="center"/>
          </w:tcPr>
          <w:p w14:paraId="752300AB">
            <w:pPr>
              <w:keepNext w:val="0"/>
              <w:keepLines w:val="0"/>
              <w:widowControl/>
              <w:suppressLineNumbers w:val="0"/>
              <w:jc w:val="left"/>
              <w:rPr>
                <w:b w:val="0"/>
                <w:i w:val="0"/>
                <w:color w:val="000000"/>
              </w:rPr>
            </w:pPr>
            <w:r>
              <w:rPr>
                <w:rFonts w:ascii="SimSun" w:hAnsi="SimSun" w:eastAsia="SimSun" w:cs="SimSun"/>
                <w:b w:val="0"/>
                <w:i w:val="0"/>
                <w:color w:val="000000"/>
                <w:kern w:val="0"/>
                <w:sz w:val="24"/>
                <w:szCs w:val="24"/>
                <w:lang w:val="en-US" w:eastAsia="zh-CN" w:bidi="ar"/>
                <w14:ligatures w14:val="none"/>
              </w:rPr>
              <w:t>Accuracy and natural use of Mandarin tones, including the four tones and appropriate tone changes in connected speech.</w:t>
            </w:r>
          </w:p>
        </w:tc>
      </w:tr>
      <w:tr w14:paraId="7D99D419">
        <w:trPr>
          <w:tblCellSpacing w:w="15" w:type="dxa"/>
        </w:trPr>
        <w:tc>
          <w:tcPr>
            <w:tcW w:w="0" w:type="auto"/>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57793E05">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Expression and Delivery / Group Presentation and Coordination</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09EE1386">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15</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1A1B18DB">
            <w:pPr>
              <w:keepNext w:val="0"/>
              <w:keepLines w:val="0"/>
              <w:widowControl/>
              <w:suppressLineNumbers w:val="0"/>
              <w:jc w:val="right"/>
              <w:rPr>
                <w:b w:val="0"/>
                <w:i w:val="0"/>
                <w:color w:val="000000"/>
              </w:rPr>
            </w:pPr>
            <w:r>
              <w:rPr>
                <w:rFonts w:ascii="SimSun" w:hAnsi="SimSun" w:eastAsia="SimSun" w:cs="SimSun"/>
                <w:b w:val="0"/>
                <w:i w:val="0"/>
                <w:color w:val="000000"/>
                <w:kern w:val="0"/>
                <w:sz w:val="24"/>
                <w:szCs w:val="24"/>
                <w:lang w:val="en-US" w:eastAsia="zh-CN" w:bidi="ar"/>
                <w14:ligatures w14:val="none"/>
              </w:rPr>
              <w:t>15</w:t>
            </w:r>
          </w:p>
        </w:tc>
        <w:tc>
          <w:tcPr>
            <w:tcW w:w="0" w:type="auto"/>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ECF1F9" w:themeFill="accent1" w:themeFillTint="19"/>
            <w:vAlign w:val="center"/>
          </w:tcPr>
          <w:p w14:paraId="7C5D3240">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Individual Recitation:</w:t>
            </w:r>
            <w:r>
              <w:rPr>
                <w:rFonts w:ascii="SimSun" w:hAnsi="SimSun" w:eastAsia="SimSun" w:cs="SimSun"/>
                <w:b w:val="0"/>
                <w:i w:val="0"/>
                <w:color w:val="000000"/>
                <w:kern w:val="0"/>
                <w:sz w:val="24"/>
                <w:szCs w:val="24"/>
                <w:lang w:val="en-US" w:eastAsia="zh-CN" w:bidi="ar"/>
                <w14:ligatures w14:val="none"/>
              </w:rPr>
              <w:t xml:space="preserve"> Fluency, pace, pauses and rhythm should be appropriate. The participant should use voice, expression and emotion effectively to communicate the meaning and feeling of the piece. </w:t>
            </w:r>
            <w:r>
              <w:rPr>
                <w:rStyle w:val="7"/>
                <w:rFonts w:ascii="SimSun" w:hAnsi="SimSun" w:eastAsia="SimSun" w:cs="SimSun"/>
                <w:b w:val="0"/>
                <w:i w:val="0"/>
                <w:color w:val="000000"/>
                <w:kern w:val="0"/>
                <w:sz w:val="24"/>
                <w:szCs w:val="24"/>
                <w:lang w:val="en-US" w:eastAsia="zh-CN" w:bidi="ar"/>
                <w14:ligatures w14:val="none"/>
              </w:rPr>
              <w:t>Group Recitation:</w:t>
            </w:r>
            <w:r>
              <w:rPr>
                <w:rFonts w:ascii="SimSun" w:hAnsi="SimSun" w:eastAsia="SimSun" w:cs="SimSun"/>
                <w:b w:val="0"/>
                <w:i w:val="0"/>
                <w:color w:val="000000"/>
                <w:kern w:val="0"/>
                <w:sz w:val="24"/>
                <w:szCs w:val="24"/>
                <w:lang w:val="en-US" w:eastAsia="zh-CN" w:bidi="ar"/>
                <w14:ligatures w14:val="none"/>
              </w:rPr>
              <w:t xml:space="preserve"> Effective coordination between participants, including timing, transitions, role or voice arrangement, and the overall coherence, completeness and expressiveness of the presentation.</w:t>
            </w:r>
          </w:p>
        </w:tc>
      </w:tr>
      <w:tr w14:paraId="3C44555B">
        <w:trPr>
          <w:tblCellSpacing w:w="15" w:type="dxa"/>
        </w:trPr>
        <w:tc>
          <w:tcPr>
            <w:tcW w:w="0" w:type="auto"/>
            <w:tcBorders>
              <w:top w:val="single" w:color="B4C6E7" w:themeColor="accent1" w:themeTint="66" w:sz="6" w:space="0"/>
              <w:left w:val="single" w:color="4472C4" w:themeColor="accent1" w:sz="6" w:space="0"/>
              <w:bottom w:val="single" w:color="4472C4" w:themeColor="accent1" w:sz="6" w:space="0"/>
              <w:right w:val="single" w:color="B4C6E7" w:themeColor="accent1" w:themeTint="66" w:sz="6" w:space="0"/>
            </w:tcBorders>
            <w:shd w:val="clear" w:color="auto" w:fill="FFFFFF"/>
            <w:vAlign w:val="center"/>
          </w:tcPr>
          <w:p w14:paraId="3D0CB194">
            <w:pPr>
              <w:keepNext w:val="0"/>
              <w:keepLines w:val="0"/>
              <w:widowControl/>
              <w:suppressLineNumbers w:val="0"/>
              <w:jc w:val="left"/>
              <w:rPr>
                <w:b w:val="0"/>
                <w:i w:val="0"/>
                <w:color w:val="000000"/>
              </w:rPr>
            </w:pPr>
            <w:r>
              <w:rPr>
                <w:rStyle w:val="7"/>
                <w:rFonts w:ascii="SimSun" w:hAnsi="SimSun" w:eastAsia="SimSun" w:cs="SimSun"/>
                <w:b w:val="0"/>
                <w:i w:val="0"/>
                <w:color w:val="000000"/>
                <w:kern w:val="0"/>
                <w:sz w:val="24"/>
                <w:szCs w:val="24"/>
                <w:lang w:val="en-US" w:eastAsia="zh-CN" w:bidi="ar"/>
                <w14:ligatures w14:val="none"/>
              </w:rPr>
              <w:t>Total</w:t>
            </w:r>
          </w:p>
        </w:tc>
        <w:tc>
          <w:tcPr>
            <w:tcW w:w="0" w:type="auto"/>
            <w:tcBorders>
              <w:top w:val="single" w:color="B4C6E7" w:themeColor="accent1" w:themeTint="66" w:sz="6" w:space="0"/>
              <w:left w:val="single" w:color="B4C6E7" w:themeColor="accent1" w:themeTint="66" w:sz="6" w:space="0"/>
              <w:bottom w:val="single" w:color="4472C4" w:themeColor="accent1" w:sz="6" w:space="0"/>
              <w:right w:val="single" w:color="B4C6E7" w:themeColor="accent1" w:themeTint="66" w:sz="6" w:space="0"/>
            </w:tcBorders>
            <w:shd w:val="clear" w:color="auto" w:fill="FFFFFF"/>
            <w:vAlign w:val="center"/>
          </w:tcPr>
          <w:p w14:paraId="6F6B445C">
            <w:pPr>
              <w:keepNext w:val="0"/>
              <w:keepLines w:val="0"/>
              <w:widowControl/>
              <w:suppressLineNumbers w:val="0"/>
              <w:jc w:val="right"/>
              <w:rPr>
                <w:b w:val="0"/>
                <w:i w:val="0"/>
                <w:color w:val="000000"/>
              </w:rPr>
            </w:pPr>
            <w:r>
              <w:rPr>
                <w:rStyle w:val="7"/>
                <w:rFonts w:ascii="SimSun" w:hAnsi="SimSun" w:eastAsia="SimSun" w:cs="SimSun"/>
                <w:b w:val="0"/>
                <w:i w:val="0"/>
                <w:color w:val="000000"/>
                <w:kern w:val="0"/>
                <w:sz w:val="24"/>
                <w:szCs w:val="24"/>
                <w:lang w:val="en-US" w:eastAsia="zh-CN" w:bidi="ar"/>
                <w14:ligatures w14:val="none"/>
              </w:rPr>
              <w:t>50</w:t>
            </w:r>
          </w:p>
        </w:tc>
        <w:tc>
          <w:tcPr>
            <w:tcW w:w="0" w:type="auto"/>
            <w:tcBorders>
              <w:top w:val="single" w:color="B4C6E7" w:themeColor="accent1" w:themeTint="66" w:sz="6" w:space="0"/>
              <w:left w:val="single" w:color="B4C6E7" w:themeColor="accent1" w:themeTint="66" w:sz="6" w:space="0"/>
              <w:bottom w:val="single" w:color="4472C4" w:themeColor="accent1" w:sz="6" w:space="0"/>
              <w:right w:val="single" w:color="B4C6E7" w:themeColor="accent1" w:themeTint="66" w:sz="6" w:space="0"/>
            </w:tcBorders>
            <w:shd w:val="clear" w:color="auto" w:fill="FFFFFF"/>
            <w:vAlign w:val="center"/>
          </w:tcPr>
          <w:p w14:paraId="63BB7BE0">
            <w:pPr>
              <w:keepNext w:val="0"/>
              <w:keepLines w:val="0"/>
              <w:widowControl/>
              <w:suppressLineNumbers w:val="0"/>
              <w:jc w:val="right"/>
              <w:rPr>
                <w:b w:val="0"/>
                <w:i w:val="0"/>
                <w:color w:val="000000"/>
              </w:rPr>
            </w:pPr>
            <w:r>
              <w:rPr>
                <w:rStyle w:val="7"/>
                <w:rFonts w:ascii="SimSun" w:hAnsi="SimSun" w:eastAsia="SimSun" w:cs="SimSun"/>
                <w:b w:val="0"/>
                <w:i w:val="0"/>
                <w:color w:val="000000"/>
                <w:kern w:val="0"/>
                <w:sz w:val="24"/>
                <w:szCs w:val="24"/>
                <w:lang w:val="en-US" w:eastAsia="zh-CN" w:bidi="ar"/>
                <w14:ligatures w14:val="none"/>
              </w:rPr>
              <w:t>50</w:t>
            </w:r>
          </w:p>
        </w:tc>
        <w:tc>
          <w:tcPr>
            <w:tcW w:w="0" w:type="auto"/>
            <w:tcBorders>
              <w:top w:val="single" w:color="B4C6E7" w:themeColor="accent1" w:themeTint="66" w:sz="6" w:space="0"/>
              <w:left w:val="single" w:color="B4C6E7" w:themeColor="accent1" w:themeTint="66" w:sz="6" w:space="0"/>
              <w:bottom w:val="single" w:color="4472C4" w:themeColor="accent1" w:sz="6" w:space="0"/>
              <w:right w:val="single" w:color="4472C4" w:themeColor="accent1" w:sz="6" w:space="0"/>
            </w:tcBorders>
            <w:shd w:val="clear" w:color="auto" w:fill="FFFFFF"/>
            <w:vAlign w:val="center"/>
          </w:tcPr>
          <w:p w14:paraId="0350AA27">
            <w:pPr>
              <w:rPr>
                <w:rFonts w:hint="eastAsia" w:ascii="SimSun"/>
                <w:b w:val="0"/>
                <w:i w:val="0"/>
                <w:color w:val="000000"/>
                <w:sz w:val="24"/>
                <w:szCs w:val="24"/>
              </w:rPr>
            </w:pPr>
          </w:p>
        </w:tc>
      </w:tr>
    </w:tbl>
    <w:p w14:paraId="663DA59B">
      <w:pPr>
        <w:numPr>
          <w:ilvl w:val="0"/>
          <w:numId w:val="0"/>
        </w:numPr>
        <w:tabs>
          <w:tab w:val="left" w:pos="312"/>
        </w:tabs>
        <w:rPr>
          <w:rFonts w:ascii="Calibri" w:hAnsi="Calibri" w:eastAsia="Times New Roman" w:cs="Calibri"/>
          <w:color w:val="353740"/>
        </w:rPr>
      </w:pPr>
    </w:p>
    <w:p w14:paraId="3C2DE8B1">
      <w:pPr>
        <w:numPr>
          <w:ilvl w:val="0"/>
          <w:numId w:val="0"/>
        </w:numPr>
        <w:rPr>
          <w:rFonts w:ascii="Calibri" w:hAnsi="Calibri" w:eastAsia="Times New Roman" w:cs="Calibri"/>
          <w:color w:val="353740"/>
        </w:rPr>
      </w:pPr>
    </w:p>
    <w:p w14:paraId="2D2E5FB4">
      <w:pPr>
        <w:rPr>
          <w:rFonts w:ascii="Calibri-Bold" w:hAnsi="Calibri-Bold" w:eastAsia="Times New Roman" w:cs="Times New Roman"/>
          <w:b/>
          <w:bCs/>
          <w:color w:val="353740"/>
        </w:rPr>
      </w:pPr>
    </w:p>
    <w:p w14:paraId="546EFF6E">
      <w:pPr>
        <w:rPr>
          <w:rFonts w:ascii="Calibri-Bold" w:hAnsi="Calibri-Bold" w:eastAsia="Times New Roman" w:cs="Times New Roman"/>
          <w:b/>
          <w:bCs/>
          <w:color w:val="353740"/>
        </w:rPr>
      </w:pPr>
    </w:p>
    <w:p w14:paraId="6BC09979">
      <w:pPr>
        <w:rPr>
          <w:rFonts w:ascii="Times New Roman" w:hAnsi="Times New Roman" w:eastAsia="Times New Roman" w:cs="Times New Roman"/>
        </w:rPr>
      </w:pPr>
      <w:r>
        <w:rPr>
          <w:rFonts w:ascii="Calibri-Bold" w:hAnsi="Calibri-Bold" w:eastAsia="Times New Roman" w:cs="Times New Roman"/>
          <w:b/>
          <w:bCs/>
          <w:color w:val="353740"/>
        </w:rPr>
        <w:t xml:space="preserve">Awards: </w:t>
      </w:r>
    </w:p>
    <w:p w14:paraId="3E6E4B90">
      <w:pPr>
        <w:rPr>
          <w:rFonts w:ascii="Times New Roman" w:hAnsi="Times New Roman" w:eastAsia="Times New Roman" w:cs="Times New Roman"/>
          <w:lang w:val="en-US"/>
        </w:rPr>
      </w:pPr>
      <w:r>
        <w:rPr>
          <w:rFonts w:ascii="Calibri" w:hAnsi="Calibri" w:eastAsia="Times New Roman" w:cs="Calibri"/>
          <w:color w:val="353740"/>
        </w:rPr>
        <w:t xml:space="preserve">1. All participants will receive a certificate and a souvenir for participating in the competition. </w:t>
      </w:r>
    </w:p>
    <w:p w14:paraId="34BEDB83">
      <w:pPr>
        <w:rPr>
          <w:rFonts w:ascii="Times New Roman" w:hAnsi="Times New Roman" w:eastAsia="Times New Roman" w:cs="Times New Roman"/>
        </w:rPr>
      </w:pPr>
      <w:r>
        <w:rPr>
          <w:rFonts w:ascii="Calibri" w:hAnsi="Calibri" w:eastAsia="Times New Roman" w:cs="Calibri"/>
          <w:color w:val="353740"/>
        </w:rPr>
        <w:t>2. Participants or teams who won prizes will also be awarded a certificate of merit.</w:t>
      </w:r>
    </w:p>
    <w:p w14:paraId="1F781B02"/>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SimSun">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Calibri-Bold">
    <w:altName w:val="苹方-简"/>
    <w:panose1 w:val="020B0604020202020204"/>
    <w:charset w:val="00"/>
    <w:family w:val="roman"/>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DengXian">
    <w:altName w:val="汉仪中等线KW"/>
    <w:panose1 w:val="02010600030101010101"/>
    <w:charset w:val="86"/>
    <w:family w:val="auto"/>
    <w:pitch w:val="default"/>
    <w:sig w:usb0="00000000" w:usb1="00000000" w:usb2="00000016" w:usb3="00000000" w:csb0="0004000F" w:csb1="00000000"/>
  </w:font>
  <w:font w:name="PingFang TC">
    <w:panose1 w:val="020B0400000000000000"/>
    <w:charset w:val="88"/>
    <w:family w:val="swiss"/>
    <w:pitch w:val="default"/>
    <w:sig w:usb0="A00002FF" w:usb1="7ACFFDFB" w:usb2="00000017" w:usb3="00000000" w:csb0="00100001" w:csb1="0000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AF13F">
    <w:pPr>
      <w:pStyle w:val="6"/>
      <w:jc w:val="right"/>
    </w:pPr>
    <w:r>
      <w:rPr>
        <w14:ligatures w14:val="standardContextual"/>
      </w:rPr>
      <w:drawing>
        <wp:inline distT="0" distB="0" distL="0" distR="0">
          <wp:extent cx="875030" cy="287655"/>
          <wp:effectExtent l="0" t="0" r="1270" b="4445"/>
          <wp:docPr id="1738710325" name="Picture 3" descr="A black text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10325" name="Picture 3" descr="A black text with letters&#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02671" cy="39600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24576"/>
    <w:multiLevelType w:val="singleLevel"/>
    <w:tmpl w:val="AFF24576"/>
    <w:lvl w:ilvl="0" w:tentative="0">
      <w:start w:val="1"/>
      <w:numFmt w:val="decimal"/>
      <w:suff w:val="space"/>
      <w:lvlText w:val="%1."/>
      <w:lvlJc w:val="left"/>
    </w:lvl>
  </w:abstractNum>
  <w:abstractNum w:abstractNumId="1">
    <w:nsid w:val="5D7FA540"/>
    <w:multiLevelType w:val="singleLevel"/>
    <w:tmpl w:val="5D7FA540"/>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56E"/>
    <w:rsid w:val="000574D6"/>
    <w:rsid w:val="00065410"/>
    <w:rsid w:val="00300486"/>
    <w:rsid w:val="00393B49"/>
    <w:rsid w:val="003B6CBF"/>
    <w:rsid w:val="003F1B01"/>
    <w:rsid w:val="00610E22"/>
    <w:rsid w:val="0068656E"/>
    <w:rsid w:val="00D63D19"/>
    <w:rsid w:val="00D96997"/>
    <w:rsid w:val="00E12369"/>
    <w:rsid w:val="27AEA8D4"/>
    <w:rsid w:val="9EF392F3"/>
    <w:rsid w:val="EB799910"/>
    <w:rsid w:val="F7FD12D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0"/>
      <w:sz w:val="24"/>
      <w:szCs w:val="24"/>
      <w:lang w:val="en-GB" w:eastAsia="zh-CN" w:bidi="ar-SA"/>
      <w14:ligatures w14:val="none"/>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footer"/>
    <w:basedOn w:val="1"/>
    <w:link w:val="9"/>
    <w:unhideWhenUsed/>
    <w:uiPriority w:val="99"/>
    <w:pPr>
      <w:tabs>
        <w:tab w:val="center" w:pos="4513"/>
        <w:tab w:val="right" w:pos="9026"/>
      </w:tabs>
    </w:pPr>
  </w:style>
  <w:style w:type="paragraph" w:styleId="6">
    <w:name w:val="header"/>
    <w:basedOn w:val="1"/>
    <w:link w:val="8"/>
    <w:unhideWhenUsed/>
    <w:uiPriority w:val="99"/>
    <w:pPr>
      <w:tabs>
        <w:tab w:val="center" w:pos="4513"/>
        <w:tab w:val="right" w:pos="9026"/>
      </w:tabs>
    </w:pPr>
  </w:style>
  <w:style w:type="character" w:styleId="7">
    <w:name w:val="Strong"/>
    <w:basedOn w:val="3"/>
    <w:qFormat/>
    <w:uiPriority w:val="22"/>
    <w:rPr>
      <w:b/>
      <w:bCs/>
    </w:rPr>
  </w:style>
  <w:style w:type="character" w:customStyle="1" w:styleId="8">
    <w:name w:val="Header Char"/>
    <w:basedOn w:val="3"/>
    <w:link w:val="6"/>
    <w:uiPriority w:val="99"/>
    <w:rPr>
      <w:kern w:val="0"/>
      <w14:ligatures w14:val="none"/>
    </w:rPr>
  </w:style>
  <w:style w:type="character" w:customStyle="1" w:styleId="9">
    <w:name w:val="Footer Char"/>
    <w:basedOn w:val="3"/>
    <w:link w:val="5"/>
    <w:uiPriority w:val="99"/>
    <w:rPr>
      <w:kern w:val="0"/>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393</Words>
  <Characters>2246</Characters>
  <Lines>18</Lines>
  <Paragraphs>5</Paragraphs>
  <TotalTime>12</TotalTime>
  <ScaleCrop>false</ScaleCrop>
  <LinksUpToDate>false</LinksUpToDate>
  <CharactersWithSpaces>2634</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2024-03-18T21:46:00Z</dcterms:created>
  <dc:creator>Yun Shen</dc:creator>
  <cp:lastModifiedBy>ee</cp:lastModifiedBy>
  <dcterms:modified xsi:type="dcterms:W3CDTF">2026-08-20T09:12:05Z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1033-12.1.26026.26026</vt:lpwstr>
  </property>
  <property fmtid="{D5CDD505-2E9C-101B-9397-08002B2CF9AE}" pid="3" name="ICV">
    <vt:lpwstr>FEB36ACCAC1D10BA8CF9856A5F9AB85E_43</vt:lpwstr>
  </property>
</Properties>
</file>